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12 June 2020, 14:00-16:00</w:t>
      </w:r>
    </w:p>
    <w:p w:rsidR="00000000" w:rsidDel="00000000" w:rsidP="00000000" w:rsidRDefault="00000000" w:rsidRPr="00000000" w14:paraId="00000003">
      <w:pPr>
        <w:pStyle w:val="Heading1"/>
        <w:spacing w:after="12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Meeting minutes</w:t>
      </w:r>
    </w:p>
    <w:p w:rsidR="00000000" w:rsidDel="00000000" w:rsidP="00000000" w:rsidRDefault="00000000" w:rsidRPr="00000000" w14:paraId="0000000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National Nutrition Centre (NNC)</w:t>
      </w:r>
    </w:p>
    <w:p w:rsidR="00000000" w:rsidDel="00000000" w:rsidP="00000000" w:rsidRDefault="00000000" w:rsidRPr="00000000" w14:paraId="00000005">
      <w:pPr>
        <w:pStyle w:val="Heading2"/>
        <w:spacing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Agenda</w:t>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Welcome and opening remarks </w:t>
      </w:r>
      <w:r w:rsidDel="00000000" w:rsidR="00000000" w:rsidRPr="00000000">
        <w:rPr>
          <w:rtl w:val="0"/>
        </w:rPr>
      </w:r>
    </w:p>
    <w:p w:rsidR="00000000" w:rsidDel="00000000" w:rsidP="00000000" w:rsidRDefault="00000000" w:rsidRPr="00000000" w14:paraId="00000008">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Presentation on market monitoring report and implication for nutrition interventions – WFP</w:t>
      </w:r>
      <w:r w:rsidDel="00000000" w:rsidR="00000000" w:rsidRPr="00000000">
        <w:rPr>
          <w:rtl w:val="0"/>
        </w:rPr>
      </w:r>
    </w:p>
    <w:p w:rsidR="00000000" w:rsidDel="00000000" w:rsidP="00000000" w:rsidRDefault="00000000" w:rsidRPr="00000000" w14:paraId="00000009">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Nutrition guidance for quarantine centre</w:t>
      </w:r>
      <w:r w:rsidDel="00000000" w:rsidR="00000000" w:rsidRPr="00000000">
        <w:rPr>
          <w:rtl w:val="0"/>
        </w:rPr>
      </w:r>
    </w:p>
    <w:p w:rsidR="00000000" w:rsidDel="00000000" w:rsidP="00000000" w:rsidRDefault="00000000" w:rsidRPr="00000000" w14:paraId="0000000A">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Updates on Nutrition sensitive guidance – LIFT and FAO</w:t>
      </w:r>
      <w:r w:rsidDel="00000000" w:rsidR="00000000" w:rsidRPr="00000000">
        <w:rPr>
          <w:rtl w:val="0"/>
        </w:rPr>
      </w:r>
    </w:p>
    <w:p w:rsidR="00000000" w:rsidDel="00000000" w:rsidP="00000000" w:rsidRDefault="00000000" w:rsidRPr="00000000" w14:paraId="0000000B">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Update adapted nutrition guidance package, capacity building and Tech-RRT </w:t>
      </w:r>
      <w:r w:rsidDel="00000000" w:rsidR="00000000" w:rsidRPr="00000000">
        <w:rPr>
          <w:rtl w:val="0"/>
        </w:rPr>
      </w:r>
    </w:p>
    <w:p w:rsidR="00000000" w:rsidDel="00000000" w:rsidP="00000000" w:rsidRDefault="00000000" w:rsidRPr="00000000" w14:paraId="0000000C">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Update from MS-NPAN </w:t>
      </w:r>
      <w:r w:rsidDel="00000000" w:rsidR="00000000" w:rsidRPr="00000000">
        <w:rPr>
          <w:rtl w:val="0"/>
        </w:rPr>
      </w:r>
    </w:p>
    <w:p w:rsidR="00000000" w:rsidDel="00000000" w:rsidP="00000000" w:rsidRDefault="00000000" w:rsidRPr="00000000" w14:paraId="0000000D">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Updates on UN-SUN network</w:t>
      </w:r>
      <w:r w:rsidDel="00000000" w:rsidR="00000000" w:rsidRPr="00000000">
        <w:rPr>
          <w:rtl w:val="0"/>
        </w:rPr>
      </w:r>
    </w:p>
    <w:p w:rsidR="00000000" w:rsidDel="00000000" w:rsidP="00000000" w:rsidRDefault="00000000" w:rsidRPr="00000000" w14:paraId="0000000E">
      <w:pPr>
        <w:numPr>
          <w:ilvl w:val="0"/>
          <w:numId w:val="10"/>
        </w:numPr>
        <w:spacing w:after="0" w:line="240" w:lineRule="auto"/>
        <w:ind w:left="720" w:hanging="360"/>
        <w:rPr/>
      </w:pPr>
      <w:r w:rsidDel="00000000" w:rsidR="00000000" w:rsidRPr="00000000">
        <w:rPr>
          <w:rFonts w:ascii="Times New Roman" w:cs="Times New Roman" w:eastAsia="Times New Roman" w:hAnsi="Times New Roman"/>
          <w:rtl w:val="0"/>
        </w:rPr>
        <w:t xml:space="preserve">AOB</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Discussion Note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numPr>
          <w:ilvl w:val="0"/>
          <w:numId w:val="5"/>
        </w:numPr>
        <w:spacing w:after="0" w:line="240" w:lineRule="auto"/>
        <w:ind w:left="720" w:hanging="360"/>
        <w:rPr>
          <w:b w:val="1"/>
        </w:rPr>
      </w:pPr>
      <w:r w:rsidDel="00000000" w:rsidR="00000000" w:rsidRPr="00000000">
        <w:rPr>
          <w:rFonts w:ascii="Times New Roman" w:cs="Times New Roman" w:eastAsia="Times New Roman" w:hAnsi="Times New Roman"/>
          <w:b w:val="1"/>
          <w:rtl w:val="0"/>
        </w:rPr>
        <w:t xml:space="preserve">Welcome and opening remarks by NNC</w:t>
      </w:r>
      <w:r w:rsidDel="00000000" w:rsidR="00000000" w:rsidRPr="00000000">
        <w:rPr>
          <w:rtl w:val="0"/>
        </w:rPr>
      </w:r>
    </w:p>
    <w:p w:rsidR="00000000" w:rsidDel="00000000" w:rsidP="00000000" w:rsidRDefault="00000000" w:rsidRPr="00000000" w14:paraId="0000001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Dr.Lwin Mar from NNC opened the meeting by welcoming. It was announced that the nutrition specialist from UNICEF; Ms.Hedy would be finished her mission in Myanmar on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June. Dr.Kyaw Win Sein will be IOC in Myanmar and Mr.Sanjay is joining for the replacement. </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Presentation on market monitoring report and implication for nutrition interventions -WFP</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from WFP presented remote market monitoring and mobile Vulnerability Analysis and Mapping (mVAM). (Please find the PPT in the attached).</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WFP is collecting the data remotely. mVAM has been implemented in 14 countries since 2013. It was started in Myanmar in </w:t>
      </w:r>
      <w:sdt>
        <w:sdtPr>
          <w:tag w:val="goog_rdk_0"/>
        </w:sdtPr>
        <w:sdtContent>
          <w:commentRangeStart w:id="0"/>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2015</w:t>
      </w:r>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to have better understanding </w:t>
      </w:r>
      <w:r w:rsidDel="00000000" w:rsidR="00000000" w:rsidRPr="00000000">
        <w:rPr>
          <w:rFonts w:ascii="Times New Roman" w:cs="Times New Roman" w:eastAsia="Times New Roman" w:hAnsi="Times New Roman"/>
          <w:rtl w:val="0"/>
        </w:rPr>
        <w:t xml:space="preserve">on the impact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COVID and currently in 60 townships in 10 States/Regions. </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Short surveys on market functioning, availability of food items, restocking time, stock duration and prices of key commodities such as rice, pulses, oil and salt</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Calls are made by WFP and cooperating partner staff every two weeks and monthly price bulletin is being produced</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Opportunities are it is flexible, low cost and data near in near-real time. As challenges, the survey needs to be short, only few commodities are mentioned, and people are </w:t>
      </w:r>
      <w:r w:rsidDel="00000000" w:rsidR="00000000" w:rsidRPr="00000000">
        <w:rPr>
          <w:rFonts w:ascii="Times New Roman" w:cs="Times New Roman" w:eastAsia="Times New Roman" w:hAnsi="Times New Roman"/>
          <w:rtl w:val="0"/>
        </w:rPr>
        <w:t xml:space="preserve">tired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shared that </w:t>
      </w:r>
      <w:r w:rsidDel="00000000" w:rsidR="00000000" w:rsidRPr="00000000">
        <w:rPr>
          <w:rFonts w:ascii="Times New Roman" w:cs="Times New Roman" w:eastAsia="Times New Roman" w:hAnsi="Times New Roman"/>
          <w:rtl w:val="0"/>
        </w:rPr>
        <w:t xml:space="preserve">they are having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nutrition surveillance system to </w:t>
      </w:r>
      <w:r w:rsidDel="00000000" w:rsidR="00000000" w:rsidRPr="00000000">
        <w:rPr>
          <w:rFonts w:ascii="Times New Roman" w:cs="Times New Roman" w:eastAsia="Times New Roman" w:hAnsi="Times New Roman"/>
          <w:rtl w:val="0"/>
        </w:rPr>
        <w:t xml:space="preserve">collect the price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food consumed by households with five family members. NNC is welcome to have more discussion on market survey assessment and food security questions. </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WFP can share detailed information on survey methods and samplings. </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was discussed to introduce questions to monitor the changes of the prices and consumption patterns. And to align WPF collection with other existing surveys and to consolidate for formulating actions/interventions linking with other forums (e.g MSN-PAN) in the COVID context. Consumption and cost of unhealthy food is also suggested to be included.</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FAO suggested to include egg, small fish. The nutrition sensitive guidance note </w:t>
      </w:r>
      <w:r w:rsidDel="00000000" w:rsidR="00000000" w:rsidRPr="00000000">
        <w:rPr>
          <w:rFonts w:ascii="Times New Roman" w:cs="Times New Roman" w:eastAsia="Times New Roman" w:hAnsi="Times New Roman"/>
          <w:rtl w:val="0"/>
        </w:rPr>
        <w:t xml:space="preserve">includes a food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price survey and requested to review it for contributions. </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UNDP is also conducting price data collection with CSO. Dashboard with prices will be presented.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WFP is planning to </w:t>
      </w:r>
      <w:r w:rsidDel="00000000" w:rsidR="00000000" w:rsidRPr="00000000">
        <w:rPr>
          <w:rFonts w:ascii="Times New Roman" w:cs="Times New Roman" w:eastAsia="Times New Roman" w:hAnsi="Times New Roman"/>
          <w:rtl w:val="0"/>
        </w:rPr>
        <w:t xml:space="preserve">see the impact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COVID in state and region in coordination with NNC.</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proposed to </w:t>
      </w:r>
      <w:r w:rsidDel="00000000" w:rsidR="00000000" w:rsidRPr="00000000">
        <w:rPr>
          <w:rFonts w:ascii="Times New Roman" w:cs="Times New Roman" w:eastAsia="Times New Roman" w:hAnsi="Times New Roman"/>
          <w:rtl w:val="0"/>
        </w:rPr>
        <w:t xml:space="preserve">discuss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food security and market survey topic in the next MNTN meeting. Dr.Kyaw Win Sein will coordinate with NNC for the next MNTN meeting agenda and schedule.</w:t>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Nutrition guidance for quarantine centres </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was shared that according to OCHA figures, there are 60,000 returnees/migrants and based on the assessment, 2% is under 5years children and 1.5% is Pregnant and Lactating Women. </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WFP is providing food ration at quarantine centers. As wet feeding is </w:t>
      </w:r>
      <w:r w:rsidDel="00000000" w:rsidR="00000000" w:rsidRPr="00000000">
        <w:rPr>
          <w:rFonts w:ascii="Times New Roman" w:cs="Times New Roman" w:eastAsia="Times New Roman" w:hAnsi="Times New Roman"/>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some centers and the nutrition sector is considering provision of milk planting guidance in those locations. </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Nutrition messages and IEC materials are also being developed for distribution. BSFP and micronutrient supplementation are also planned to be implemented at quarantine centers. </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w:t>
      </w:r>
      <w:r w:rsidDel="00000000" w:rsidR="00000000" w:rsidRPr="00000000">
        <w:rPr>
          <w:rFonts w:ascii="Times New Roman" w:cs="Times New Roman" w:eastAsia="Times New Roman" w:hAnsi="Times New Roman"/>
          <w:rtl w:val="0"/>
        </w:rPr>
        <w:t xml:space="preserve">suggested hygienic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preparation of the food and food portions for the quarantine community. The quarantine center guidance note has been shared with NNC for their review.</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WFP shared that in coordination with NNC, the draft hot meal guideline with 3 food groups and hygienic preparation of food has been prepared and currently </w:t>
      </w:r>
      <w:r w:rsidDel="00000000" w:rsidR="00000000" w:rsidRPr="00000000">
        <w:rPr>
          <w:rFonts w:ascii="Times New Roman" w:cs="Times New Roman" w:eastAsia="Times New Roman" w:hAnsi="Times New Roman"/>
          <w:rtl w:val="0"/>
        </w:rPr>
        <w:t xml:space="preserve">in use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Kayin quarantine centers. WFP can share the draft guideline and the monitoring </w:t>
      </w:r>
      <w:r w:rsidDel="00000000" w:rsidR="00000000" w:rsidRPr="00000000">
        <w:rPr>
          <w:rFonts w:ascii="Times New Roman" w:cs="Times New Roman" w:eastAsia="Times New Roman" w:hAnsi="Times New Roman"/>
          <w:rtl w:val="0"/>
        </w:rPr>
        <w:t xml:space="preserve">checklist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Updates on Nutrition sensitive guidance – LIFT and FAO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nutrition sensitive guidance has been finalized with the SAG member’s inputs. The final inputs can be shared by COB today or by Monday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guidance note is to be finalized by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or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and to be shared with other relevant departments for reviewing and finalizing in the coming week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4 parts in the document annex. They are (1) nutrition sensitive, (2) social protection, (3) education (school feeding) and (4) cross cutting themes (i.e gender, mental health, WASH etc). M &amp; E session with indicators is also included. The targeted audience are both partners and government. Food marketing part is contained in the guidance note and the SAG members are requested to review it.</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was discussed </w:t>
      </w:r>
      <w:r w:rsidDel="00000000" w:rsidR="00000000" w:rsidRPr="00000000">
        <w:rPr>
          <w:rFonts w:ascii="Times New Roman" w:cs="Times New Roman" w:eastAsia="Times New Roman" w:hAnsi="Times New Roman"/>
          <w:rtl w:val="0"/>
        </w:rPr>
        <w:t xml:space="preserve">how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add ECD information (by UNICEF focal point) and SBCC strategies. WASH is suggested to be included as another annex. Jecinter will look for more WASH in COVID information and will provide feedback by Monday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It was requested to share the guidance note with not </w:t>
      </w:r>
      <w:r w:rsidDel="00000000" w:rsidR="00000000" w:rsidRPr="00000000">
        <w:rPr>
          <w:rFonts w:ascii="Times New Roman" w:cs="Times New Roman" w:eastAsia="Times New Roman" w:hAnsi="Times New Roman"/>
          <w:rtl w:val="0"/>
        </w:rPr>
        <w:t xml:space="preserve">only the government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 also other related sectors such as WASH, Health and Education. Myanmar is the only country with the nutrition sensitive guidance note in the context of COVID and the information has been shared with GNC for further </w:t>
      </w:r>
      <w:r w:rsidDel="00000000" w:rsidR="00000000" w:rsidRPr="00000000">
        <w:rPr>
          <w:rFonts w:ascii="Times New Roman" w:cs="Times New Roman" w:eastAsia="Times New Roman" w:hAnsi="Times New Roman"/>
          <w:rtl w:val="0"/>
        </w:rPr>
        <w:t xml:space="preserve">support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MSN-PAN core team will review the guidance and provide support as needed for future case study and multisectoral coordination for nutrition.</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Training and SBCC materials (part-3) will be considered.</w:t>
      </w:r>
    </w:p>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6.Update adapted nutrition guidance package and capacity building and TEACH RRT</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guidance note (June version) has been shared with NNC for their review and inputs. </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final approved June version will be circulated to the SAG members for revising and updating as the July version.</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encouraged to have separated nutrition sensitive and specific guidance notes. NNC can review the sensitive guidance note and it can be shared as the NNC approved version.</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was shared that virtual capacity building for the nutrition guidance note in the context of COVID, IYCF and micronutrient were given to nutrition partners. A pilot skill-based IMAM virtual training was planned to be delivered soon. Training records, lesson learnt will be shared with the NNC. </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asked for corrective actions from the previous sessions and it was responded that based on </w:t>
      </w:r>
      <w:r w:rsidDel="00000000" w:rsidR="00000000" w:rsidRPr="00000000">
        <w:rPr>
          <w:rFonts w:ascii="Times New Roman" w:cs="Times New Roman" w:eastAsia="Times New Roman" w:hAnsi="Times New Roman"/>
          <w:rtl w:val="0"/>
        </w:rPr>
        <w:t xml:space="preserve">lessons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learnt from the previous training, assessment of knowledge and skills virtually such as group exercises and virtual practical sessions will be included in the next IMAM training. The challenges faced were due to the nature of virtual/online training, it was difficult to assess knowledge and skill (such as counselling skill) of the participants.</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Jecinter shared that TEACH RRT </w:t>
      </w:r>
      <w:r w:rsidDel="00000000" w:rsidR="00000000" w:rsidRPr="00000000">
        <w:rPr>
          <w:rFonts w:ascii="Times New Roman" w:cs="Times New Roman" w:eastAsia="Times New Roman" w:hAnsi="Times New Roman"/>
          <w:rtl w:val="0"/>
        </w:rPr>
        <w:t xml:space="preserve">supports interactive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virtual materials and video for capacity building processes. UNICEF regional office is working for a MUAC measurement video script for capacity building of volunteers and nutrition partners.</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was discussed that there are pros and cons of virtual and face-to-face training. Based on the context and feasibility, to use the global and national expertise with effective ways and modifying training materials and methods. Online </w:t>
      </w:r>
      <w:r w:rsidDel="00000000" w:rsidR="00000000" w:rsidRPr="00000000">
        <w:rPr>
          <w:rFonts w:ascii="Times New Roman" w:cs="Times New Roman" w:eastAsia="Times New Roman" w:hAnsi="Times New Roman"/>
          <w:rtl w:val="0"/>
        </w:rPr>
        <w:t xml:space="preserve">coaching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monitoring should be followed after the virtual training.</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discussed that IMAM is a skill-based training and would need preparations for the modules (3 parts- knowledge part, demonstration part and face-to-face component). Thus, it was proposed to postpone the IMAM virtual training from the original planned dates </w:t>
      </w:r>
      <w:r w:rsidDel="00000000" w:rsidR="00000000" w:rsidRPr="00000000">
        <w:rPr>
          <w:rFonts w:ascii="Times New Roman" w:cs="Times New Roman" w:eastAsia="Times New Roman" w:hAnsi="Times New Roman"/>
          <w:rtl w:val="0"/>
        </w:rPr>
        <w:t xml:space="preserve">in the third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June. NNC is also developing a MUAC measurement video in local language for basic health </w:t>
      </w:r>
      <w:r w:rsidDel="00000000" w:rsidR="00000000" w:rsidRPr="00000000">
        <w:rPr>
          <w:rFonts w:ascii="Times New Roman" w:cs="Times New Roman" w:eastAsia="Times New Roman" w:hAnsi="Times New Roman"/>
          <w:rtl w:val="0"/>
        </w:rPr>
        <w:t xml:space="preserve">staff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Dr.Kyaw Win Sein will coordinate with NNC for the IMAM training and development of training materials and modules as well as confirmation of the training date. NNC will share the draft MUAC measurement video. UNCIEF will share the training </w:t>
      </w:r>
      <w:r w:rsidDel="00000000" w:rsidR="00000000" w:rsidRPr="00000000">
        <w:rPr>
          <w:rFonts w:ascii="Times New Roman" w:cs="Times New Roman" w:eastAsia="Times New Roman" w:hAnsi="Times New Roman"/>
          <w:rtl w:val="0"/>
        </w:rPr>
        <w:t xml:space="preserve">powerpoints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(IYCF and IMAM) with NNC.</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8.Update from MS-NPAN </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was a MSN_PAN coordination meeting with related ministries and NNC on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June. At the meeting, discussion on way forwards for multisectoral coordination in the context of COVID for MSN-PAN was done. The outcome of the meeting was to map out the activities from each sector. The matrix table with activity mapping will be finalized in the next meeting and will be shared with other UN network partners. </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shared that NNC is committed to chair the nutrition related meetings. It was suggested that the SAG meeting is continued as the weekly basic till the nutrition sensitive guidance note is finalized and later the meeting frequency will be adjusted as needed.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9.Updates on UN-SUN network</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network is planning to </w:t>
      </w:r>
      <w:r w:rsidDel="00000000" w:rsidR="00000000" w:rsidRPr="00000000">
        <w:rPr>
          <w:rFonts w:ascii="Times New Roman" w:cs="Times New Roman" w:eastAsia="Times New Roman" w:hAnsi="Times New Roman"/>
          <w:rtl w:val="0"/>
        </w:rPr>
        <w:t xml:space="preserve">hold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head of agency meeting on 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and NNC and MSN-PAN will be invited. The objective of the meeting is to update MSN-PAN in COVID and follow ups from the February meeting.</w:t>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Fonts w:ascii="Times New Roman" w:cs="Times New Roman" w:eastAsia="Times New Roman" w:hAnsi="Times New Roman"/>
          <w:b w:val="1"/>
          <w:rtl w:val="0"/>
        </w:rPr>
        <w:t xml:space="preserve">10.AOB</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next meeting is proposed to be on the next Thursday at 2:00 PM.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points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808285" w:space="0" w:sz="4" w:val="single"/>
          <w:left w:color="808285" w:space="0" w:sz="4" w:val="single"/>
          <w:bottom w:color="808285" w:space="0" w:sz="4" w:val="single"/>
          <w:right w:color="808285" w:space="0" w:sz="4" w:val="single"/>
          <w:insideH w:color="808285" w:space="0" w:sz="4" w:val="single"/>
          <w:insideV w:color="808285" w:space="0" w:sz="4" w:val="single"/>
        </w:tblBorders>
        <w:tblLayout w:type="fixed"/>
        <w:tblLook w:val="0400"/>
      </w:tblPr>
      <w:tblGrid>
        <w:gridCol w:w="4751"/>
        <w:gridCol w:w="2341"/>
        <w:gridCol w:w="1924"/>
        <w:tblGridChange w:id="0">
          <w:tblGrid>
            <w:gridCol w:w="4751"/>
            <w:gridCol w:w="2341"/>
            <w:gridCol w:w="1924"/>
          </w:tblGrid>
        </w:tblGridChange>
      </w:tblGrid>
      <w:tr>
        <w:tc>
          <w:tcPr>
            <w:shd w:fill="808285" w:val="clear"/>
            <w:vAlign w:val="center"/>
          </w:tcPr>
          <w:p w:rsidR="00000000" w:rsidDel="00000000" w:rsidP="00000000" w:rsidRDefault="00000000" w:rsidRPr="00000000" w14:paraId="00000053">
            <w:pPr>
              <w:jc w:val="center"/>
              <w:rPr>
                <w:i w:val="1"/>
              </w:rPr>
            </w:pPr>
            <w:r w:rsidDel="00000000" w:rsidR="00000000" w:rsidRPr="00000000">
              <w:rPr>
                <w:i w:val="1"/>
                <w:rtl w:val="0"/>
              </w:rPr>
              <w:t xml:space="preserve">Action points</w:t>
            </w:r>
          </w:p>
        </w:tc>
        <w:tc>
          <w:tcPr>
            <w:shd w:fill="808285" w:val="clear"/>
            <w:vAlign w:val="center"/>
          </w:tcPr>
          <w:p w:rsidR="00000000" w:rsidDel="00000000" w:rsidP="00000000" w:rsidRDefault="00000000" w:rsidRPr="00000000" w14:paraId="00000054">
            <w:pPr>
              <w:jc w:val="center"/>
              <w:rPr>
                <w:i w:val="1"/>
              </w:rPr>
            </w:pPr>
            <w:r w:rsidDel="00000000" w:rsidR="00000000" w:rsidRPr="00000000">
              <w:rPr>
                <w:i w:val="1"/>
                <w:rtl w:val="0"/>
              </w:rPr>
              <w:t xml:space="preserve">Agency/Responsible </w:t>
            </w:r>
          </w:p>
        </w:tc>
        <w:tc>
          <w:tcPr>
            <w:shd w:fill="808285" w:val="clear"/>
            <w:vAlign w:val="center"/>
          </w:tcPr>
          <w:p w:rsidR="00000000" w:rsidDel="00000000" w:rsidP="00000000" w:rsidRDefault="00000000" w:rsidRPr="00000000" w14:paraId="00000055">
            <w:pPr>
              <w:jc w:val="center"/>
              <w:rPr>
                <w:i w:val="1"/>
              </w:rPr>
            </w:pPr>
            <w:r w:rsidDel="00000000" w:rsidR="00000000" w:rsidRPr="00000000">
              <w:rPr>
                <w:i w:val="1"/>
                <w:rtl w:val="0"/>
              </w:rPr>
              <w:t xml:space="preserve">Timeline</w:t>
            </w:r>
          </w:p>
        </w:tc>
      </w:tr>
      <w:tr>
        <w:tc>
          <w:tcPr>
            <w:shd w:fill="auto" w:val="clear"/>
          </w:tcPr>
          <w:p w:rsidR="00000000" w:rsidDel="00000000" w:rsidP="00000000" w:rsidRDefault="00000000" w:rsidRPr="00000000" w14:paraId="0000005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Dr.Kyaw Win Sein will coordinate with NNC for the next MNTN meeting agenda and schedule.</w:t>
            </w:r>
          </w:p>
        </w:tc>
        <w:tc>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Dr.Kyaw</w:t>
            </w:r>
          </w:p>
        </w:tc>
        <w:tc>
          <w:tcPr/>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TBC</w:t>
            </w:r>
          </w:p>
        </w:tc>
      </w:tr>
      <w:tr>
        <w:tc>
          <w:tcPr>
            <w:shd w:fill="auto" w:val="clear"/>
          </w:tcPr>
          <w:p w:rsidR="00000000" w:rsidDel="00000000" w:rsidP="00000000" w:rsidRDefault="00000000" w:rsidRPr="00000000" w14:paraId="0000005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WFP will share the draft meal guideline and the monitoring </w:t>
            </w:r>
            <w:r w:rsidDel="00000000" w:rsidR="00000000" w:rsidRPr="00000000">
              <w:rPr>
                <w:rFonts w:ascii="Times New Roman" w:cs="Times New Roman" w:eastAsia="Times New Roman" w:hAnsi="Times New Roman"/>
                <w:rtl w:val="0"/>
              </w:rPr>
              <w:t xml:space="preserve">checklist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quarantine center</w:t>
            </w:r>
          </w:p>
        </w:tc>
        <w:tc>
          <w:tcPr/>
          <w:p w:rsidR="00000000" w:rsidDel="00000000" w:rsidP="00000000" w:rsidRDefault="00000000" w:rsidRPr="00000000" w14:paraId="0000005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WFP</w:t>
            </w:r>
          </w:p>
        </w:tc>
        <w:tc>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tl w:val="0"/>
              </w:rPr>
            </w:r>
          </w:p>
        </w:tc>
      </w:tr>
      <w:tr>
        <w:tc>
          <w:tcPr>
            <w:shd w:fill="auto" w:val="clear"/>
          </w:tcPr>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final inputs for the nutrition sensitive guidance note to be shared by COB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w:t>
            </w:r>
          </w:p>
        </w:tc>
        <w:tc>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SAG members</w:t>
            </w:r>
          </w:p>
        </w:tc>
        <w:tc>
          <w:tcPr/>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15th June</w:t>
            </w:r>
          </w:p>
        </w:tc>
      </w:tr>
      <w:tr>
        <w:tc>
          <w:tcPr>
            <w:shd w:fill="auto" w:val="clear"/>
          </w:tcPr>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Dr.Kyaw Win Sein will share the training </w:t>
            </w:r>
            <w:r w:rsidDel="00000000" w:rsidR="00000000" w:rsidRPr="00000000">
              <w:rPr>
                <w:rFonts w:ascii="Times New Roman" w:cs="Times New Roman" w:eastAsia="Times New Roman" w:hAnsi="Times New Roman"/>
                <w:rtl w:val="0"/>
              </w:rPr>
              <w:t xml:space="preserve">powerpoints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(IYCF and IMAM) and coordinate with NNC for the IMAM training and development of training materials and modules as well as confirmation of the training date.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Dr.Kyaw</w:t>
            </w:r>
          </w:p>
        </w:tc>
        <w:tc>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TBC</w:t>
            </w:r>
          </w:p>
        </w:tc>
      </w:tr>
      <w:tr>
        <w:tc>
          <w:tcPr>
            <w:shd w:fill="auto" w:val="clear"/>
          </w:tcPr>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NNC will share the draft MUAC measurement video. </w:t>
            </w:r>
          </w:p>
        </w:tc>
        <w:tc>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NNC</w:t>
            </w:r>
          </w:p>
        </w:tc>
        <w:tc>
          <w:tcPr/>
          <w:p w:rsidR="00000000" w:rsidDel="00000000" w:rsidP="00000000" w:rsidRDefault="00000000" w:rsidRPr="00000000" w14:paraId="0000006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TBC</w:t>
            </w:r>
          </w:p>
        </w:tc>
      </w:tr>
      <w:tr>
        <w:tc>
          <w:tcPr>
            <w:shd w:fill="auto" w:val="clear"/>
          </w:tcPr>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Participants</w:t>
      </w: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2269"/>
        <w:gridCol w:w="2430"/>
        <w:gridCol w:w="3780"/>
        <w:tblGridChange w:id="0">
          <w:tblGrid>
            <w:gridCol w:w="511"/>
            <w:gridCol w:w="2269"/>
            <w:gridCol w:w="2430"/>
            <w:gridCol w:w="3780"/>
          </w:tblGrid>
        </w:tblGridChange>
      </w:tblGrid>
      <w:tr>
        <w:trPr>
          <w:trHeight w:val="1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Email address</w:t>
            </w:r>
            <w:r w:rsidDel="00000000" w:rsidR="00000000" w:rsidRPr="00000000">
              <w:rPr>
                <w:rtl w:val="0"/>
              </w:rPr>
            </w:r>
          </w:p>
        </w:tc>
      </w:tr>
      <w:tr>
        <w:trPr>
          <w:trHeight w:val="1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NNC</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Dr.Lwin Mar Hlaing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lwinmarhlaing@mohs.gov.mm lmhlaing78@gmail.com</w:t>
            </w:r>
          </w:p>
        </w:tc>
      </w:tr>
      <w:tr>
        <w:trPr>
          <w:trHeight w:val="1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NNC</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Dr.Aung Nyan Min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draungnyanmin@gmail.com</w:t>
            </w:r>
          </w:p>
        </w:tc>
      </w:tr>
      <w:tr>
        <w:trPr>
          <w:trHeight w:val="33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LIFT</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Nang Lyan Zar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nanglyanzar@unops.org</w:t>
            </w:r>
          </w:p>
        </w:tc>
      </w:tr>
      <w:tr>
        <w:trPr>
          <w:trHeight w:val="123"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WFP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Melody Muchimwe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melody.muchimwe@wfp.org</w:t>
            </w:r>
          </w:p>
        </w:tc>
      </w:tr>
      <w:tr>
        <w:trPr>
          <w:trHeight w:val="312"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WFP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Chaw Su Su Khaing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chawsusu.khaing@wfp.org</w:t>
            </w:r>
          </w:p>
        </w:tc>
      </w:tr>
      <w:tr>
        <w:trPr>
          <w:trHeight w:val="501"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WFP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Fumito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fumito.morinaga@wfp.org</w:t>
            </w:r>
          </w:p>
        </w:tc>
      </w:tr>
      <w:tr>
        <w:trPr>
          <w:trHeight w:val="501"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WFP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marie.enlund@wfp.org</w:t>
            </w:r>
          </w:p>
        </w:tc>
      </w:tr>
      <w:tr>
        <w:trPr>
          <w:trHeight w:val="231"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Than Htut 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nuthod@mm-actioncontrelafaim.org</w:t>
            </w:r>
          </w:p>
        </w:tc>
      </w:tr>
      <w:tr>
        <w:trPr>
          <w:trHeight w:val="411"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jennieh@unops.org</w:t>
            </w:r>
          </w:p>
        </w:tc>
      </w:tr>
      <w:tr>
        <w:trPr>
          <w:trHeight w:val="24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7">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kwsein@unicef.org</w:t>
            </w:r>
          </w:p>
        </w:tc>
      </w:tr>
      <w:tr>
        <w:trPr>
          <w:trHeight w:val="402"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9">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A">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B">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Dinesh Jeyakumaran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jeyakumarand@who.int</w:t>
            </w:r>
          </w:p>
        </w:tc>
      </w:tr>
      <w:tr>
        <w:trPr>
          <w:trHeight w:val="15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D">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REACH</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Soe Nyi Nyi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0">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soe.nyinyi@wfp.org</w:t>
            </w:r>
          </w:p>
        </w:tc>
      </w:tr>
      <w:tr>
        <w:trPr>
          <w:trHeight w:val="24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4">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jaoketch@unicef.org</w:t>
            </w:r>
          </w:p>
        </w:tc>
      </w:tr>
      <w:tr>
        <w:trPr>
          <w:trHeight w:val="15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6">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7">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 Lae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wlae@unicef.org</w:t>
            </w:r>
          </w:p>
        </w:tc>
      </w:tr>
      <w:tr>
        <w:trPr>
          <w:trHeight w:val="168"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9">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A">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B">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enilsson@unicef.org</w:t>
            </w:r>
          </w:p>
        </w:tc>
      </w:tr>
      <w:tr>
        <w:trPr>
          <w:trHeight w:val="384"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D">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Pyae Phyo 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0">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paung@unicef.org</w:t>
            </w:r>
          </w:p>
        </w:tc>
      </w:tr>
      <w:tr>
        <w:trPr>
          <w:trHeight w:val="6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Sanjay Kumar Das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4">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skumardas@unicef.org</w:t>
            </w:r>
          </w:p>
        </w:tc>
      </w:tr>
      <w:tr>
        <w:trPr>
          <w:trHeight w:val="18"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6">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7">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Hedy IP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hip@unicef.org</w:t>
            </w:r>
          </w:p>
        </w:tc>
      </w:tr>
      <w:tr>
        <w:trPr>
          <w:trHeight w:val="6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9">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A">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B">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Dr.Nay Tun Kyaw</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ntkyaw@unicef.org</w:t>
            </w:r>
          </w:p>
        </w:tc>
      </w:tr>
      <w:tr>
        <w:trPr>
          <w:trHeight w:val="6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D">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Jonathan Gorstein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0">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jgorstein@sajilosolutions.org</w:t>
            </w:r>
          </w:p>
        </w:tc>
      </w:tr>
      <w:tr>
        <w:trPr>
          <w:trHeight w:val="18"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San San Myint</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4">
            <w:pPr>
              <w:spacing w:before="240" w:lineRule="auto"/>
              <w:jc w:val="both"/>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rtl w:val="0"/>
                </w:rPr>
                <w:t xml:space="preserve">sansanm@unops.org</w:t>
              </w:r>
            </w:hyperlink>
            <w:r w:rsidDel="00000000" w:rsidR="00000000" w:rsidRPr="00000000">
              <w:rPr>
                <w:rtl w:val="0"/>
              </w:rPr>
            </w:r>
          </w:p>
        </w:tc>
      </w:tr>
      <w:tr>
        <w:trPr>
          <w:trHeight w:val="18"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6">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7">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Swe Lin Maung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SweLinn.Maung@savethechildren.org</w:t>
            </w:r>
          </w:p>
        </w:tc>
      </w:tr>
      <w:tr>
        <w:trPr>
          <w:trHeight w:val="357"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9">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A">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B">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Anna-Lisa Noack</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C">
            <w:pPr>
              <w:spacing w:before="240" w:lineRule="auto"/>
              <w:jc w:val="both"/>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rtl w:val="0"/>
                </w:rPr>
                <w:t xml:space="preserve">annalisa.noack@fao.org</w:t>
              </w:r>
            </w:hyperlink>
            <w:r w:rsidDel="00000000" w:rsidR="00000000" w:rsidRPr="00000000">
              <w:rPr>
                <w:rFonts w:ascii="Times New Roman" w:cs="Times New Roman" w:eastAsia="Times New Roman" w:hAnsi="Times New Roman"/>
                <w:rtl w:val="0"/>
              </w:rPr>
              <w:t xml:space="preserve"> </w:t>
            </w:r>
          </w:p>
        </w:tc>
      </w:tr>
      <w:tr>
        <w:trPr>
          <w:trHeight w:val="18"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D">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E">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F">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Thit</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D0">
            <w:pPr>
              <w:spacing w:before="240" w:lineRule="auto"/>
              <w:jc w:val="both"/>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rtl w:val="0"/>
                </w:rPr>
                <w:t xml:space="preserve">phonet@unops.org</w:t>
              </w:r>
            </w:hyperlink>
            <w:r w:rsidDel="00000000" w:rsidR="00000000" w:rsidRPr="00000000">
              <w:rPr>
                <w:rtl w:val="0"/>
              </w:rPr>
            </w:r>
          </w:p>
        </w:tc>
      </w:tr>
      <w:tr>
        <w:trPr>
          <w:trHeight w:val="18"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D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D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Concern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D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Dr.Kyawt Thazin Oo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D4">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kyawtthazinoo@worldconcern.org</w:t>
            </w:r>
          </w:p>
        </w:tc>
      </w:tr>
    </w:tbl>
    <w:p w:rsidR="00000000" w:rsidDel="00000000" w:rsidP="00000000" w:rsidRDefault="00000000" w:rsidRPr="00000000" w14:paraId="000000D5">
      <w:pPr>
        <w:spacing w:line="240" w:lineRule="auto"/>
        <w:jc w:val="both"/>
        <w:rPr>
          <w:rFonts w:ascii="Times New Roman" w:cs="Times New Roman" w:eastAsia="Times New Roman" w:hAnsi="Times New Roman"/>
          <w:b w:val="1"/>
          <w:u w:val="single"/>
        </w:rPr>
      </w:pPr>
      <w:bookmarkStart w:colFirst="0" w:colLast="0" w:name="_heading=h.gjdgxs" w:id="0"/>
      <w:bookmarkEnd w:id="0"/>
      <w:r w:rsidDel="00000000" w:rsidR="00000000" w:rsidRPr="00000000">
        <w:rPr>
          <w:rtl w:val="0"/>
        </w:rPr>
      </w:r>
    </w:p>
    <w:sectPr>
      <w:headerReference r:id="rId12" w:type="default"/>
      <w:footerReference r:id="rId13" w:type="default"/>
      <w:pgSz w:h="16838" w:w="11906"/>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cinter oketch" w:id="0" w:date="2020-06-17T12:23:33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clarify if it started in 2015, not sure if it was for monitoring impact of COVID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4"/>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3"/>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rPr>
        <w:trHeight w:val="1005" w:hRule="atLeast"/>
      </w:trPr>
      <w:tc>
        <w:tcPr/>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ind w:left="86" w:firstLine="0"/>
            <w:rPr>
              <w:b w:val="1"/>
              <w:color w:val="1f497d"/>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680"/>
              <w:tab w:val="right" w:pos="9360"/>
            </w:tabs>
            <w:ind w:left="3600" w:firstLine="0"/>
            <w:rPr>
              <w:color w:val="1f497d"/>
            </w:rPr>
          </w:pPr>
          <w:r w:rsidDel="00000000" w:rsidR="00000000" w:rsidRPr="00000000">
            <w:rPr>
              <w:color w:val="000000"/>
            </w:rPr>
            <w:drawing>
              <wp:inline distB="0" distT="0" distL="0" distR="0">
                <wp:extent cx="336901" cy="4020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72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mbria" w:cs="Cambria" w:eastAsia="Cambria" w:hAnsi="Cambria"/>
      <w:b w:val="1"/>
      <w:color w:val="366091"/>
      <w:sz w:val="28"/>
      <w:szCs w:val="28"/>
    </w:rPr>
  </w:style>
  <w:style w:type="paragraph" w:styleId="Heading2">
    <w:name w:val="heading 2"/>
    <w:basedOn w:val="Normal"/>
    <w:next w:val="Normal"/>
    <w:uiPriority w:val="9"/>
    <w:unhideWhenUsed w:val="1"/>
    <w:qFormat w:val="1"/>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mbria" w:cs="Cambria" w:eastAsia="Cambria" w:hAnsi="Cambria"/>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tcPr>
      <w:shd w:color="auto" w:fill="dbeef3" w:val="clear"/>
    </w:tc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beef3"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beef3" w:val="clear"/>
    </w:tcPr>
  </w:style>
  <w:style w:type="paragraph" w:styleId="ListParagraph">
    <w:name w:val="List Paragraph"/>
    <w:basedOn w:val="Normal"/>
    <w:uiPriority w:val="34"/>
    <w:qFormat w:val="1"/>
    <w:rsid w:val="007F42B0"/>
    <w:pPr>
      <w:spacing w:after="0" w:line="240" w:lineRule="auto"/>
      <w:ind w:left="720"/>
      <w:contextualSpacing w:val="1"/>
    </w:pPr>
    <w:rPr>
      <w:rFonts w:eastAsiaTheme="minorHAnsi"/>
      <w:lang w:val="en-US"/>
    </w:rPr>
  </w:style>
  <w:style w:type="paragraph" w:styleId="BalloonText">
    <w:name w:val="Balloon Text"/>
    <w:basedOn w:val="Normal"/>
    <w:link w:val="BalloonTextChar"/>
    <w:uiPriority w:val="99"/>
    <w:semiHidden w:val="1"/>
    <w:unhideWhenUsed w:val="1"/>
    <w:rsid w:val="00C516D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516DE"/>
    <w:rPr>
      <w:rFonts w:ascii="Segoe UI" w:cs="Segoe UI" w:hAnsi="Segoe UI"/>
      <w:sz w:val="18"/>
      <w:szCs w:val="18"/>
    </w:rPr>
  </w:style>
  <w:style w:type="character" w:styleId="Hyperlink">
    <w:name w:val="Hyperlink"/>
    <w:basedOn w:val="DefaultParagraphFont"/>
    <w:uiPriority w:val="99"/>
    <w:unhideWhenUsed w:val="1"/>
    <w:rsid w:val="002833B1"/>
    <w:rPr>
      <w:color w:val="0563c1"/>
      <w:u w:val="single"/>
    </w:rPr>
  </w:style>
  <w:style w:type="character" w:styleId="UnresolvedMention">
    <w:name w:val="Unresolved Mention"/>
    <w:basedOn w:val="DefaultParagraphFont"/>
    <w:uiPriority w:val="99"/>
    <w:semiHidden w:val="1"/>
    <w:unhideWhenUsed w:val="1"/>
    <w:rsid w:val="004E6BB7"/>
    <w:rPr>
      <w:color w:val="605e5c"/>
      <w:shd w:color="auto" w:fill="e1dfdd" w:val="clear"/>
    </w:rPr>
  </w:style>
  <w:style w:type="table" w:styleId="TableGrid">
    <w:name w:val="Table Grid"/>
    <w:basedOn w:val="TableNormal"/>
    <w:uiPriority w:val="59"/>
    <w:rsid w:val="00483129"/>
    <w:pPr>
      <w:spacing w:after="0" w:line="240" w:lineRule="auto"/>
    </w:pPr>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85640D"/>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tcPr>
      <w:shd w:fill="dbeef3" w:val="clear"/>
    </w:tcPr>
  </w:style>
  <w:style w:type="table" w:styleId="Table4">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mailto:phonet@unops.org" TargetMode="External"/><Relationship Id="rId10" Type="http://schemas.openxmlformats.org/officeDocument/2006/relationships/hyperlink" Target="mailto:annalisa.noack@fao.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sansanm@unops.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vHAcwGIasHpcPfghipkWFtgAAw==">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2020-06-16T16:47:00Z</dcterms:created>
  <dc:creator>Win Lae</dc:creator>
</cp:coreProperties>
</file>