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pPr>
      <w:r w:rsidDel="00000000" w:rsidR="00000000" w:rsidRPr="00000000">
        <w:rPr>
          <w:rFonts w:ascii="Calibri" w:cs="Calibri" w:eastAsia="Calibri" w:hAnsi="Calibri"/>
          <w:b w:val="1"/>
          <w:sz w:val="24"/>
          <w:szCs w:val="24"/>
          <w:rtl w:val="0"/>
        </w:rPr>
        <w:t xml:space="preserve">Weekly Update #18  (06 February - 19 February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Myanmar:</w:t>
            </w:r>
            <w:r w:rsidDel="00000000" w:rsidR="00000000" w:rsidRPr="00000000">
              <w:rPr>
                <w:rtl w:val="0"/>
              </w:rPr>
            </w:r>
          </w:p>
          <w:p w:rsidR="00000000" w:rsidDel="00000000" w:rsidP="00000000" w:rsidRDefault="00000000" w:rsidRPr="00000000" w14:paraId="00000005">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w:t>
            </w:r>
          </w:p>
          <w:p w:rsidR="00000000" w:rsidDel="00000000" w:rsidP="00000000" w:rsidRDefault="00000000" w:rsidRPr="00000000" w14:paraId="00000006">
            <w:pPr>
              <w:pageBreakBefore w:val="0"/>
              <w:widowControl w:val="0"/>
              <w:numPr>
                <w:ilvl w:val="0"/>
                <w:numId w:val="1"/>
              </w:numPr>
              <w:shd w:fill="ffffff" w:val="clear"/>
              <w:ind w:left="720" w:hanging="360"/>
              <w:jc w:val="both"/>
              <w:rPr>
                <w:rFonts w:ascii="Calibri" w:cs="Calibri" w:eastAsia="Calibri" w:hAnsi="Calibri"/>
                <w:color w:val="202020"/>
                <w:sz w:val="20"/>
                <w:szCs w:val="20"/>
                <w:highlight w:val="white"/>
              </w:rPr>
            </w:pPr>
            <w:r w:rsidDel="00000000" w:rsidR="00000000" w:rsidRPr="00000000">
              <w:rPr>
                <w:rFonts w:ascii="Calibri" w:cs="Calibri" w:eastAsia="Calibri" w:hAnsi="Calibri"/>
                <w:color w:val="222222"/>
                <w:sz w:val="20"/>
                <w:szCs w:val="20"/>
                <w:rtl w:val="0"/>
              </w:rPr>
              <w:t xml:space="preserve">Mercy Corps Myanmar has published the monthly report which summarizes median prices for goods based on data from three vendors per product per market. January data were gathered Feb. 1 - 2 in Maungdaw, Minbya, Mrauk U and Sittwe Townships.1 Data for October through December are also provided for comparison. The report highlights that the prices for both low- and high-quality rice fell 10% in Sittwe in January, vegetable prices fell sharply in all markets in January,while </w:t>
            </w:r>
            <w:r w:rsidDel="00000000" w:rsidR="00000000" w:rsidRPr="00000000">
              <w:rPr>
                <w:rFonts w:ascii="Calibri" w:cs="Calibri" w:eastAsia="Calibri" w:hAnsi="Calibri"/>
                <w:color w:val="222222"/>
                <w:sz w:val="20"/>
                <w:szCs w:val="20"/>
                <w:highlight w:val="white"/>
                <w:rtl w:val="0"/>
              </w:rPr>
              <w:t xml:space="preserve">prices for essential foods, hygiene products and fresh and dried fish remained stable.</w:t>
            </w:r>
            <w:r w:rsidDel="00000000" w:rsidR="00000000" w:rsidRPr="00000000">
              <w:rPr>
                <w:rFonts w:ascii="Calibri" w:cs="Calibri" w:eastAsia="Calibri" w:hAnsi="Calibri"/>
                <w:color w:val="222222"/>
                <w:sz w:val="20"/>
                <w:szCs w:val="20"/>
                <w:rtl w:val="0"/>
              </w:rPr>
              <w:t xml:space="preserve"> The full report is attached and also available on </w:t>
            </w:r>
            <w:hyperlink r:id="rId6">
              <w:r w:rsidDel="00000000" w:rsidR="00000000" w:rsidRPr="00000000">
                <w:rPr>
                  <w:rFonts w:ascii="Calibri" w:cs="Calibri" w:eastAsia="Calibri" w:hAnsi="Calibri"/>
                  <w:color w:val="1155cc"/>
                  <w:sz w:val="20"/>
                  <w:szCs w:val="20"/>
                  <w:u w:val="single"/>
                  <w:rtl w:val="0"/>
                </w:rPr>
                <w:t xml:space="preserve">MIMU</w:t>
              </w:r>
            </w:hyperlink>
            <w:r w:rsidDel="00000000" w:rsidR="00000000" w:rsidRPr="00000000">
              <w:rPr>
                <w:rFonts w:ascii="Calibri" w:cs="Calibri" w:eastAsia="Calibri" w:hAnsi="Calibri"/>
                <w:color w:val="222222"/>
                <w:sz w:val="20"/>
                <w:szCs w:val="20"/>
                <w:rtl w:val="0"/>
              </w:rPr>
              <w:t xml:space="preserve">.</w:t>
            </w:r>
            <w:r w:rsidDel="00000000" w:rsidR="00000000" w:rsidRPr="00000000">
              <w:rPr>
                <w:rtl w:val="0"/>
              </w:rPr>
            </w:r>
          </w:p>
          <w:p w:rsidR="00000000" w:rsidDel="00000000" w:rsidP="00000000" w:rsidRDefault="00000000" w:rsidRPr="00000000" w14:paraId="00000007">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u w:val="single"/>
                <w:rtl w:val="0"/>
              </w:rPr>
              <w:t xml:space="preserve">In General:</w:t>
            </w:r>
            <w:r w:rsidDel="00000000" w:rsidR="00000000" w:rsidRPr="00000000">
              <w:rPr>
                <w:rtl w:val="0"/>
              </w:rPr>
            </w:r>
          </w:p>
          <w:p w:rsidR="00000000" w:rsidDel="00000000" w:rsidP="00000000" w:rsidRDefault="00000000" w:rsidRPr="00000000" w14:paraId="00000008">
            <w:pPr>
              <w:pageBreakBefore w:val="0"/>
              <w:widowControl w:val="0"/>
              <w:shd w:fill="ffffff" w:val="clear"/>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Guidance:</w:t>
            </w:r>
          </w:p>
          <w:p w:rsidR="00000000" w:rsidDel="00000000" w:rsidP="00000000" w:rsidRDefault="00000000" w:rsidRPr="00000000" w14:paraId="00000009">
            <w:pPr>
              <w:pageBreakBefore w:val="0"/>
              <w:widowControl w:val="0"/>
              <w:numPr>
                <w:ilvl w:val="0"/>
                <w:numId w:val="5"/>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Nathalie Klein and Nynne Warring’s blog for CaLP on </w:t>
            </w:r>
            <w:hyperlink r:id="rId7">
              <w:r w:rsidDel="00000000" w:rsidR="00000000" w:rsidRPr="00000000">
                <w:rPr>
                  <w:rFonts w:ascii="Calibri" w:cs="Calibri" w:eastAsia="Calibri" w:hAnsi="Calibri"/>
                  <w:color w:val="1155cc"/>
                  <w:sz w:val="20"/>
                  <w:szCs w:val="20"/>
                  <w:highlight w:val="white"/>
                  <w:u w:val="single"/>
                  <w:rtl w:val="0"/>
                </w:rPr>
                <w:t xml:space="preserve">Demystifying the Minimum Expenditure Baske</w:t>
              </w:r>
            </w:hyperlink>
            <w:r w:rsidDel="00000000" w:rsidR="00000000" w:rsidRPr="00000000">
              <w:rPr>
                <w:rFonts w:ascii="Calibri" w:cs="Calibri" w:eastAsia="Calibri" w:hAnsi="Calibri"/>
                <w:color w:val="222222"/>
                <w:sz w:val="20"/>
                <w:szCs w:val="20"/>
                <w:highlight w:val="white"/>
                <w:rtl w:val="0"/>
              </w:rPr>
              <w:t xml:space="preserve">t reflects on the information and discussion points which emerged from </w:t>
            </w:r>
            <w:hyperlink r:id="rId8">
              <w:r w:rsidDel="00000000" w:rsidR="00000000" w:rsidRPr="00000000">
                <w:rPr>
                  <w:rFonts w:ascii="Calibri" w:cs="Calibri" w:eastAsia="Calibri" w:hAnsi="Calibri"/>
                  <w:color w:val="1155cc"/>
                  <w:sz w:val="20"/>
                  <w:szCs w:val="20"/>
                  <w:highlight w:val="white"/>
                  <w:u w:val="single"/>
                  <w:rtl w:val="0"/>
                </w:rPr>
                <w:t xml:space="preserve">a series of five ‘MEB webinars’</w:t>
              </w:r>
            </w:hyperlink>
            <w:r w:rsidDel="00000000" w:rsidR="00000000" w:rsidRPr="00000000">
              <w:rPr>
                <w:rFonts w:ascii="Calibri" w:cs="Calibri" w:eastAsia="Calibri" w:hAnsi="Calibri"/>
                <w:color w:val="222222"/>
                <w:sz w:val="20"/>
                <w:szCs w:val="20"/>
                <w:highlight w:val="white"/>
                <w:rtl w:val="0"/>
              </w:rPr>
              <w:t xml:space="preserve"> organised by WFP and CaLP last October and November.</w:t>
            </w:r>
          </w:p>
          <w:p w:rsidR="00000000" w:rsidDel="00000000" w:rsidP="00000000" w:rsidRDefault="00000000" w:rsidRPr="00000000" w14:paraId="0000000A">
            <w:pPr>
              <w:pageBreakBefore w:val="0"/>
              <w:widowControl w:val="0"/>
              <w:shd w:fill="ffffff" w:val="clear"/>
              <w:ind w:left="720" w:firstLine="0"/>
              <w:jc w:val="both"/>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00B">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Publications/Research: </w:t>
            </w:r>
            <w:r w:rsidDel="00000000" w:rsidR="00000000" w:rsidRPr="00000000">
              <w:rPr>
                <w:rtl w:val="0"/>
              </w:rPr>
            </w:r>
          </w:p>
          <w:p w:rsidR="00000000" w:rsidDel="00000000" w:rsidP="00000000" w:rsidRDefault="00000000" w:rsidRPr="00000000" w14:paraId="0000000C">
            <w:pPr>
              <w:pageBreakBefore w:val="0"/>
              <w:widowControl w:val="0"/>
              <w:numPr>
                <w:ilvl w:val="0"/>
                <w:numId w:val="6"/>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INCLUDE Platform has published a literature review-based paper -</w:t>
            </w:r>
            <w:hyperlink r:id="rId9">
              <w:r w:rsidDel="00000000" w:rsidR="00000000" w:rsidRPr="00000000">
                <w:rPr>
                  <w:rFonts w:ascii="Calibri" w:cs="Calibri" w:eastAsia="Calibri" w:hAnsi="Calibri"/>
                  <w:color w:val="1155cc"/>
                  <w:sz w:val="20"/>
                  <w:szCs w:val="20"/>
                  <w:highlight w:val="white"/>
                  <w:u w:val="single"/>
                  <w:rtl w:val="0"/>
                </w:rPr>
                <w:t xml:space="preserve"> Implementation of cash transfers and cash-based approaches</w:t>
              </w:r>
            </w:hyperlink>
            <w:r w:rsidDel="00000000" w:rsidR="00000000" w:rsidRPr="00000000">
              <w:rPr>
                <w:rFonts w:ascii="Calibri" w:cs="Calibri" w:eastAsia="Calibri" w:hAnsi="Calibri"/>
                <w:color w:val="222222"/>
                <w:sz w:val="20"/>
                <w:szCs w:val="20"/>
                <w:highlight w:val="white"/>
                <w:rtl w:val="0"/>
              </w:rPr>
              <w:t xml:space="preserve"> - that looks at the versatility of cash transfers both as part of humanitarian and social protection programming, taking into account the different modes of delivery, monitoring and targeting systems used and how they influence inclusiveness.</w:t>
            </w:r>
          </w:p>
          <w:p w:rsidR="00000000" w:rsidDel="00000000" w:rsidP="00000000" w:rsidRDefault="00000000" w:rsidRPr="00000000" w14:paraId="0000000D">
            <w:pPr>
              <w:pageBreakBefore w:val="0"/>
              <w:widowControl w:val="0"/>
              <w:numPr>
                <w:ilvl w:val="0"/>
                <w:numId w:val="6"/>
              </w:numPr>
              <w:shd w:fill="ffffff" w:val="clear"/>
              <w:ind w:left="720" w:hanging="360"/>
              <w:jc w:val="both"/>
              <w:rPr>
                <w:rFonts w:ascii="Calibri" w:cs="Calibri" w:eastAsia="Calibri" w:hAnsi="Calibri"/>
                <w:color w:val="222222"/>
                <w:sz w:val="20"/>
                <w:szCs w:val="20"/>
                <w:highlight w:val="white"/>
                <w:u w:val="none"/>
              </w:rPr>
            </w:pPr>
            <w:hyperlink r:id="rId10">
              <w:r w:rsidDel="00000000" w:rsidR="00000000" w:rsidRPr="00000000">
                <w:rPr>
                  <w:rFonts w:ascii="Calibri" w:cs="Calibri" w:eastAsia="Calibri" w:hAnsi="Calibri"/>
                  <w:color w:val="1155cc"/>
                  <w:sz w:val="20"/>
                  <w:szCs w:val="20"/>
                  <w:highlight w:val="white"/>
                  <w:u w:val="single"/>
                  <w:rtl w:val="0"/>
                </w:rPr>
                <w:t xml:space="preserve">Mobile Money, Vol. 2, Issue 1</w:t>
              </w:r>
            </w:hyperlink>
            <w:r w:rsidDel="00000000" w:rsidR="00000000" w:rsidRPr="00000000">
              <w:rPr>
                <w:rFonts w:ascii="Calibri" w:cs="Calibri" w:eastAsia="Calibri" w:hAnsi="Calibri"/>
                <w:color w:val="222222"/>
                <w:sz w:val="20"/>
                <w:szCs w:val="20"/>
                <w:highlight w:val="white"/>
                <w:rtl w:val="0"/>
              </w:rPr>
              <w:t xml:space="preserve"> is published on 3 February 2021 by VoxDevLits. The surge in access to mobile phones throughout the developing world has brought with it a wide range of benefits. More recently, there has been a growth in digital financial services that use mobile money as the rails to deliver other products (largely credit). However, such innovations are few and far between with more research needed on their deployment and impact.</w:t>
            </w:r>
          </w:p>
          <w:p w:rsidR="00000000" w:rsidDel="00000000" w:rsidP="00000000" w:rsidRDefault="00000000" w:rsidRPr="00000000" w14:paraId="0000000E">
            <w:pPr>
              <w:pageBreakBefore w:val="0"/>
              <w:widowControl w:val="0"/>
              <w:numPr>
                <w:ilvl w:val="0"/>
                <w:numId w:val="6"/>
              </w:numPr>
              <w:shd w:fill="ffffff" w:val="clear"/>
              <w:ind w:left="720" w:hanging="360"/>
              <w:jc w:val="both"/>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20"/>
                <w:szCs w:val="20"/>
                <w:highlight w:val="white"/>
                <w:rtl w:val="0"/>
              </w:rPr>
              <w:t xml:space="preserve">CaLP shared a </w:t>
            </w:r>
            <w:hyperlink r:id="rId11">
              <w:r w:rsidDel="00000000" w:rsidR="00000000" w:rsidRPr="00000000">
                <w:rPr>
                  <w:rFonts w:ascii="Calibri" w:cs="Calibri" w:eastAsia="Calibri" w:hAnsi="Calibri"/>
                  <w:color w:val="1155cc"/>
                  <w:sz w:val="20"/>
                  <w:szCs w:val="20"/>
                  <w:highlight w:val="white"/>
                  <w:u w:val="single"/>
                  <w:rtl w:val="0"/>
                </w:rPr>
                <w:t xml:space="preserve">draft ToR</w:t>
              </w:r>
            </w:hyperlink>
            <w:r w:rsidDel="00000000" w:rsidR="00000000" w:rsidRPr="00000000">
              <w:rPr>
                <w:rFonts w:ascii="Calibri" w:cs="Calibri" w:eastAsia="Calibri" w:hAnsi="Calibri"/>
                <w:color w:val="222222"/>
                <w:sz w:val="20"/>
                <w:szCs w:val="20"/>
                <w:highlight w:val="white"/>
                <w:rtl w:val="0"/>
              </w:rPr>
              <w:t xml:space="preserve"> for research examining good practices, enablers and barriers in CVA preparedness at the response level. In our recent work in the Latin America and Caribbean region, as well as highlighted in </w:t>
            </w:r>
            <w:hyperlink r:id="rId12">
              <w:r w:rsidDel="00000000" w:rsidR="00000000" w:rsidRPr="00000000">
                <w:rPr>
                  <w:rFonts w:ascii="Calibri" w:cs="Calibri" w:eastAsia="Calibri" w:hAnsi="Calibri"/>
                  <w:color w:val="1155cc"/>
                  <w:sz w:val="20"/>
                  <w:szCs w:val="20"/>
                  <w:highlight w:val="white"/>
                  <w:u w:val="single"/>
                  <w:rtl w:val="0"/>
                </w:rPr>
                <w:t xml:space="preserve">recent CaLP research</w:t>
              </w:r>
            </w:hyperlink>
            <w:r w:rsidDel="00000000" w:rsidR="00000000" w:rsidRPr="00000000">
              <w:rPr>
                <w:rFonts w:ascii="Calibri" w:cs="Calibri" w:eastAsia="Calibri" w:hAnsi="Calibri"/>
                <w:color w:val="222222"/>
                <w:sz w:val="20"/>
                <w:szCs w:val="20"/>
                <w:highlight w:val="white"/>
                <w:rtl w:val="0"/>
              </w:rPr>
              <w:t xml:space="preserve"> on social protection, there is limited evidence and documented learning on CVA linkages to preparedness, including with national disaster management agencies.</w:t>
            </w:r>
          </w:p>
          <w:p w:rsidR="00000000" w:rsidDel="00000000" w:rsidP="00000000" w:rsidRDefault="00000000" w:rsidRPr="00000000" w14:paraId="0000000F">
            <w:pPr>
              <w:pageBreakBefore w:val="0"/>
              <w:widowControl w:val="0"/>
              <w:numPr>
                <w:ilvl w:val="0"/>
                <w:numId w:val="6"/>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Writing for the ICRC, Cristina Quijano Carrasco explores </w:t>
            </w:r>
            <w:hyperlink r:id="rId13">
              <w:r w:rsidDel="00000000" w:rsidR="00000000" w:rsidRPr="00000000">
                <w:rPr>
                  <w:rFonts w:ascii="Calibri" w:cs="Calibri" w:eastAsia="Calibri" w:hAnsi="Calibri"/>
                  <w:color w:val="1155cc"/>
                  <w:sz w:val="20"/>
                  <w:szCs w:val="20"/>
                  <w:highlight w:val="white"/>
                  <w:u w:val="single"/>
                  <w:rtl w:val="0"/>
                </w:rPr>
                <w:t xml:space="preserve">“Humanitarian engagement in social protection: implications for principled humanitarian action”</w:t>
              </w:r>
            </w:hyperlink>
            <w:r w:rsidDel="00000000" w:rsidR="00000000" w:rsidRPr="00000000">
              <w:rPr>
                <w:rFonts w:ascii="Calibri" w:cs="Calibri" w:eastAsia="Calibri" w:hAnsi="Calibri"/>
                <w:color w:val="222222"/>
                <w:sz w:val="20"/>
                <w:szCs w:val="20"/>
                <w:highlight w:val="white"/>
                <w:rtl w:val="0"/>
              </w:rPr>
              <w:t xml:space="preserve">. The importance of the principles of neutrality, impartiality, independence, and humanity in humanitarian action (NIIHA) are emphasized, stressing that if these are compromised this could in turn impact the trust of parties to a conflict or affected populations, as well as access to the latter, making it essential – particularly in this digital age of interoperable systems – that humanitarian organizations consider these challenges in assessing their engagement in social protection programmes.</w:t>
            </w:r>
          </w:p>
          <w:p w:rsidR="00000000" w:rsidDel="00000000" w:rsidP="00000000" w:rsidRDefault="00000000" w:rsidRPr="00000000" w14:paraId="00000010">
            <w:pPr>
              <w:pageBreakBefore w:val="0"/>
              <w:widowControl w:val="0"/>
              <w:numPr>
                <w:ilvl w:val="0"/>
                <w:numId w:val="6"/>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Also writing for the ICRC in a blog linked to the one above, Jill Capotosto tells us about </w:t>
            </w:r>
            <w:hyperlink r:id="rId14">
              <w:r w:rsidDel="00000000" w:rsidR="00000000" w:rsidRPr="00000000">
                <w:rPr>
                  <w:rFonts w:ascii="Calibri" w:cs="Calibri" w:eastAsia="Calibri" w:hAnsi="Calibri"/>
                  <w:color w:val="1155cc"/>
                  <w:sz w:val="20"/>
                  <w:szCs w:val="20"/>
                  <w:highlight w:val="white"/>
                  <w:u w:val="single"/>
                  <w:rtl w:val="0"/>
                </w:rPr>
                <w:t xml:space="preserve">The mosaic effect: the revelation risks of combining humanitarian and social protection data</w:t>
              </w:r>
            </w:hyperlink>
            <w:r w:rsidDel="00000000" w:rsidR="00000000" w:rsidRPr="00000000">
              <w:rPr>
                <w:rFonts w:ascii="Calibri" w:cs="Calibri" w:eastAsia="Calibri" w:hAnsi="Calibri"/>
                <w:color w:val="222222"/>
                <w:sz w:val="20"/>
                <w:szCs w:val="20"/>
                <w:highlight w:val="white"/>
                <w:rtl w:val="0"/>
              </w:rPr>
              <w:t xml:space="preserve"> highlighting that while coordinating efforts between humanitarian programmes and social protection systems may help support individual and community resilience, it also creates the risk of new threats to data protection.</w:t>
            </w:r>
          </w:p>
          <w:p w:rsidR="00000000" w:rsidDel="00000000" w:rsidP="00000000" w:rsidRDefault="00000000" w:rsidRPr="00000000" w14:paraId="00000011">
            <w:pPr>
              <w:pageBreakBefore w:val="0"/>
              <w:widowControl w:val="0"/>
              <w:shd w:fill="ffffff" w:val="clear"/>
              <w:ind w:left="720" w:firstLine="0"/>
              <w:jc w:val="both"/>
              <w:rPr>
                <w:rFonts w:ascii="Calibri" w:cs="Calibri" w:eastAsia="Calibri" w:hAnsi="Calibri"/>
                <w:color w:val="222222"/>
                <w:sz w:val="20"/>
                <w:szCs w:val="20"/>
                <w:highlight w:val="white"/>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numPr>
                <w:ilvl w:val="0"/>
                <w:numId w:val="7"/>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15">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r w:rsidDel="00000000" w:rsidR="00000000" w:rsidRPr="00000000">
              <w:rPr>
                <w:rtl w:val="0"/>
              </w:rPr>
            </w:r>
          </w:p>
          <w:p w:rsidR="00000000" w:rsidDel="00000000" w:rsidP="00000000" w:rsidRDefault="00000000" w:rsidRPr="00000000" w14:paraId="00000014">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Survey: </w:t>
            </w:r>
          </w:p>
          <w:p w:rsidR="00000000" w:rsidDel="00000000" w:rsidP="00000000" w:rsidRDefault="00000000" w:rsidRPr="00000000" w14:paraId="00000015">
            <w:pPr>
              <w:pageBreakBefore w:val="0"/>
              <w:widowControl w:val="0"/>
              <w:numPr>
                <w:ilvl w:val="0"/>
                <w:numId w:val="3"/>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Following the webinar series hosted jointly with WFP in October / November 2020, CaLP have decided to update the MEB toolkit. If you could share any specific new learning around the construction of MEBs, any new challenges faced (and how you overcame these) and any newly developed resources (any organisational tools, learnings etc.) that have NOT already been showcased in the webinars, we can then decide whether to include them in the CaLP MEB resources. Please respond to this email </w:t>
            </w:r>
            <w:r w:rsidDel="00000000" w:rsidR="00000000" w:rsidRPr="00000000">
              <w:rPr>
                <w:rFonts w:ascii="Calibri" w:cs="Calibri" w:eastAsia="Calibri" w:hAnsi="Calibri"/>
                <w:color w:val="1155cc"/>
                <w:sz w:val="20"/>
                <w:szCs w:val="20"/>
                <w:highlight w:val="white"/>
                <w:rtl w:val="0"/>
              </w:rPr>
              <w:t xml:space="preserve">sjtruelove@hotmail.co.uk</w:t>
            </w:r>
            <w:r w:rsidDel="00000000" w:rsidR="00000000" w:rsidRPr="00000000">
              <w:rPr>
                <w:rFonts w:ascii="Calibri" w:cs="Calibri" w:eastAsia="Calibri" w:hAnsi="Calibri"/>
                <w:color w:val="222222"/>
                <w:sz w:val="20"/>
                <w:szCs w:val="20"/>
                <w:highlight w:val="white"/>
                <w:rtl w:val="0"/>
              </w:rPr>
              <w:t xml:space="preserve"> </w:t>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Recent webinars and events:</w:t>
            </w:r>
          </w:p>
          <w:p w:rsidR="00000000" w:rsidDel="00000000" w:rsidP="00000000" w:rsidRDefault="00000000" w:rsidRPr="00000000" w14:paraId="00000018">
            <w:pPr>
              <w:pageBreakBefore w:val="0"/>
              <w:widowControl w:val="0"/>
              <w:numPr>
                <w:ilvl w:val="0"/>
                <w:numId w:val="8"/>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EPRI’s second global webinar in its social protection series explored how comprehensive and integrated social protection approaches can contribute to achieving food security and nutrition outcomes. You can access the recording here and the webinar presentation </w:t>
            </w:r>
            <w:hyperlink r:id="rId16">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numPr>
                <w:ilvl w:val="0"/>
                <w:numId w:val="4"/>
              </w:numPr>
              <w:shd w:fill="ffffff" w:val="clear"/>
              <w:spacing w:line="360" w:lineRule="auto"/>
              <w:ind w:left="720" w:hanging="360"/>
              <w:jc w:val="both"/>
              <w:rPr>
                <w:rFonts w:ascii="Calibri" w:cs="Calibri" w:eastAsia="Calibri" w:hAnsi="Calibri"/>
                <w:color w:val="050505"/>
                <w:sz w:val="20"/>
                <w:szCs w:val="20"/>
                <w:highlight w:val="white"/>
                <w:u w:val="none"/>
              </w:rPr>
            </w:pPr>
            <w:hyperlink r:id="rId17">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18">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19">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20">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1B">
            <w:pPr>
              <w:pageBreakBefore w:val="0"/>
              <w:widowControl w:val="0"/>
              <w:numPr>
                <w:ilvl w:val="0"/>
                <w:numId w:val="4"/>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21">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22">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1C">
            <w:pPr>
              <w:pageBreakBefore w:val="0"/>
              <w:widowControl w:val="0"/>
              <w:numPr>
                <w:ilvl w:val="0"/>
                <w:numId w:val="4"/>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w:t>
            </w:r>
            <w:hyperlink r:id="rId23">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050505"/>
                <w:sz w:val="20"/>
                <w:szCs w:val="20"/>
                <w:highlight w:val="white"/>
                <w:rtl w:val="0"/>
              </w:rPr>
              <w:t xml:space="preserve"> in English and Spanish.</w:t>
            </w:r>
          </w:p>
          <w:p w:rsidR="00000000" w:rsidDel="00000000" w:rsidP="00000000" w:rsidRDefault="00000000" w:rsidRPr="00000000" w14:paraId="0000001D">
            <w:pPr>
              <w:pageBreakBefore w:val="0"/>
              <w:widowControl w:val="0"/>
              <w:numPr>
                <w:ilvl w:val="0"/>
                <w:numId w:val="4"/>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24">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1E">
            <w:pPr>
              <w:pageBreakBefore w:val="0"/>
              <w:widowControl w:val="0"/>
              <w:numPr>
                <w:ilvl w:val="0"/>
                <w:numId w:val="4"/>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25">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1F">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0">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26">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 </w:t>
            </w:r>
          </w:p>
          <w:p w:rsidR="00000000" w:rsidDel="00000000" w:rsidP="00000000" w:rsidRDefault="00000000" w:rsidRPr="00000000" w14:paraId="00000021">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27">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28">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29">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22">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30">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before="17.39013671875" w:line="360" w:lineRule="auto"/>
              <w:ind w:left="0" w:right="59.459228515625" w:firstLine="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4">
      <w:pPr>
        <w:pageBreakBefore w:val="0"/>
        <w:spacing w:line="360" w:lineRule="auto"/>
        <w:jc w:val="both"/>
        <w:rPr/>
      </w:pPr>
      <w:r w:rsidDel="00000000" w:rsidR="00000000" w:rsidRPr="00000000">
        <w:rPr>
          <w:rtl w:val="0"/>
        </w:rPr>
      </w:r>
    </w:p>
    <w:p w:rsidR="00000000" w:rsidDel="00000000" w:rsidP="00000000" w:rsidRDefault="00000000" w:rsidRPr="00000000" w14:paraId="00000025">
      <w:pPr>
        <w:pageBreakBefore w:val="0"/>
        <w:spacing w:line="360" w:lineRule="auto"/>
        <w:jc w:val="both"/>
        <w:rPr/>
      </w:pPr>
      <w:r w:rsidDel="00000000" w:rsidR="00000000" w:rsidRPr="00000000">
        <w:rPr>
          <w:rtl w:val="0"/>
        </w:rPr>
      </w:r>
    </w:p>
    <w:p w:rsidR="00000000" w:rsidDel="00000000" w:rsidP="00000000" w:rsidRDefault="00000000" w:rsidRPr="00000000" w14:paraId="00000026">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alpnetwork.org/themes/cva-and-covid-19-resources-guidance-events-and-questions/" TargetMode="External"/><Relationship Id="rId22" Type="http://schemas.openxmlformats.org/officeDocument/2006/relationships/hyperlink" Target="https://www.calpnetwork.org/wp-content/uploads/2020/03/CaLP-summary-guidance-version-5-16-April-2020_.pdf" TargetMode="External"/><Relationship Id="rId21" Type="http://schemas.openxmlformats.org/officeDocument/2006/relationships/hyperlink" Target="https://www.calpnetwork.org/themes/cva-and-covid-19-resources-guidance-events-and-questions/" TargetMode="External"/><Relationship Id="rId24" Type="http://schemas.openxmlformats.org/officeDocument/2006/relationships/hyperlink" Target="https://r1.dotmailer-surveys.com/4952l7ad-074f9u4b" TargetMode="External"/><Relationship Id="rId23" Type="http://schemas.openxmlformats.org/officeDocument/2006/relationships/hyperlink" Target="https://cash-hub.org/resources/cash-and-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cludeplatform.net/publications/implementation-cash-transfers-cash-based-approaches/" TargetMode="External"/><Relationship Id="rId26" Type="http://schemas.openxmlformats.org/officeDocument/2006/relationships/hyperlink" Target="https://www.collaborativecash.org/social-protection-working-group" TargetMode="External"/><Relationship Id="rId25" Type="http://schemas.openxmlformats.org/officeDocument/2006/relationships/hyperlink" Target="https://transfer.cpc.unc.edu/cash-transfers-covid-19/?utm_source=Transfer+Project+Newsletter&amp;utm_campaign=df0f757bb9-" TargetMode="External"/><Relationship Id="rId28" Type="http://schemas.openxmlformats.org/officeDocument/2006/relationships/hyperlink" Target="https://socialprotection.org/how-can-social-protection-systems-respond-covid-19-crisis" TargetMode="External"/><Relationship Id="rId27" Type="http://schemas.openxmlformats.org/officeDocument/2006/relationships/hyperlink" Target="https://socialprotection.org/linking-cash-and-voucher-assistance-and-social-protection-demystifying-entry-points-humanitarians" TargetMode="External"/><Relationship Id="rId5" Type="http://schemas.openxmlformats.org/officeDocument/2006/relationships/styles" Target="styles.xml"/><Relationship Id="rId6" Type="http://schemas.openxmlformats.org/officeDocument/2006/relationships/hyperlink" Target="https://themimu.info/rakhine-market-analysis-unit" TargetMode="External"/><Relationship Id="rId29" Type="http://schemas.openxmlformats.org/officeDocument/2006/relationships/hyperlink" Target="https://socialprotection.org/discover/blog/lessons-learned-and-opportunities-linking-social-protection-systems-humanitarian-cash" TargetMode="External"/><Relationship Id="rId7" Type="http://schemas.openxmlformats.org/officeDocument/2006/relationships/hyperlink" Target="https://www.calpnetwork.org/learning-tools/" TargetMode="External"/><Relationship Id="rId8" Type="http://schemas.openxmlformats.org/officeDocument/2006/relationships/hyperlink" Target="https://www.calpnetwork.org/event/webinar-series-on-the-minimum-expenditure-basket/" TargetMode="External"/><Relationship Id="rId30" Type="http://schemas.openxmlformats.org/officeDocument/2006/relationships/hyperlink" Target="https://www.ugogentilini.net/" TargetMode="External"/><Relationship Id="rId11" Type="http://schemas.openxmlformats.org/officeDocument/2006/relationships/hyperlink" Target="https://calpnetworkorg-my.sharepoint.com/:w:/g/personal/lynn_yoshikawa_calpnetwork_org/EcRvYaBfEIVKqlLY9tLxtLoB2d-vqEUtfzSOInkmGSaalA?e=HzYZLy" TargetMode="External"/><Relationship Id="rId10" Type="http://schemas.openxmlformats.org/officeDocument/2006/relationships/hyperlink" Target="https://drive.google.com/file/d/1XGpnkQ6n7etHmoZb5rR3N5m8OWezR3uO/view" TargetMode="External"/><Relationship Id="rId13" Type="http://schemas.openxmlformats.org/officeDocument/2006/relationships/hyperlink" Target="https://blogs.icrc.org/law-and-policy/2021/02/11/humanitarian-engagement-social-protection/" TargetMode="External"/><Relationship Id="rId12" Type="http://schemas.openxmlformats.org/officeDocument/2006/relationships/hyperlink" Target="https://www.calpnetwork.org/publication/linking-social-protection-and-humanitarian-cash-and-voucher-assistance/" TargetMode="External"/><Relationship Id="rId15" Type="http://schemas.openxmlformats.org/officeDocument/2006/relationships/hyperlink" Target="https://drive.google.com/file/d/14fd9FMcm9ueDsfnLLJPyPOrNk9Ml0KpC/view" TargetMode="External"/><Relationship Id="rId14" Type="http://schemas.openxmlformats.org/officeDocument/2006/relationships/hyperlink" Target="https://blogs.icrc.org/law-and-policy/2021/02/09/mosaic-effect-revelation-risks/" TargetMode="External"/><Relationship Id="rId17" Type="http://schemas.openxmlformats.org/officeDocument/2006/relationships/hyperlink" Target="https://socialprotection.org/" TargetMode="External"/><Relationship Id="rId16" Type="http://schemas.openxmlformats.org/officeDocument/2006/relationships/hyperlink" Target="https://www.dropbox.com/s/adp9jc33xici8b5/GBLDIASPSPuttingFSNattheheartofSP20210204aSM.pdf?dl=0" TargetMode="External"/><Relationship Id="rId19" Type="http://schemas.openxmlformats.org/officeDocument/2006/relationships/hyperlink" Target="https://socialprotection.org/connect/communities/social-protection-crisis-contexts" TargetMode="External"/><Relationship Id="rId18" Type="http://schemas.openxmlformats.org/officeDocument/2006/relationships/hyperlink" Target="https://socialprotection.org/connect/communities/social-protection-responses-covid-19-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