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23" w:rsidRPr="00F63C23" w:rsidRDefault="00F63C23" w:rsidP="00F63C23">
      <w:pPr>
        <w:pStyle w:val="PMRtextmaincontenttext"/>
        <w:ind w:right="216"/>
        <w:jc w:val="center"/>
        <w:rPr>
          <w:rFonts w:asciiTheme="majorHAnsi" w:hAnsiTheme="majorHAnsi"/>
          <w:b/>
          <w:color w:val="000000" w:themeColor="text1"/>
          <w:sz w:val="28"/>
          <w:szCs w:val="28"/>
        </w:rPr>
      </w:pPr>
      <w:bookmarkStart w:id="0" w:name="_Toc373844187"/>
      <w:bookmarkStart w:id="1" w:name="_Toc373846560"/>
      <w:r w:rsidRPr="00F63C23">
        <w:rPr>
          <w:rFonts w:asciiTheme="majorHAnsi" w:hAnsiTheme="majorHAnsi"/>
          <w:b/>
          <w:color w:val="000000" w:themeColor="text1"/>
          <w:sz w:val="28"/>
          <w:szCs w:val="28"/>
        </w:rPr>
        <w:t>MYANMAR STRATEGIC RESPONSE PLAN (SRP)</w:t>
      </w:r>
      <w:r w:rsidR="006C7903">
        <w:rPr>
          <w:rFonts w:asciiTheme="majorHAnsi" w:hAnsiTheme="majorHAnsi"/>
          <w:b/>
          <w:color w:val="000000" w:themeColor="text1"/>
          <w:sz w:val="28"/>
          <w:szCs w:val="28"/>
        </w:rPr>
        <w:t xml:space="preserve"> 2014</w:t>
      </w:r>
    </w:p>
    <w:p w:rsidR="00F63C23" w:rsidRPr="00F63C23" w:rsidRDefault="00F63C23" w:rsidP="00F63C23">
      <w:pPr>
        <w:pStyle w:val="PMRtextmaincontenttext"/>
        <w:ind w:right="216"/>
        <w:jc w:val="center"/>
        <w:rPr>
          <w:rFonts w:asciiTheme="majorHAnsi" w:hAnsiTheme="majorHAnsi"/>
          <w:b/>
          <w:color w:val="000000" w:themeColor="text1"/>
          <w:sz w:val="28"/>
          <w:szCs w:val="28"/>
        </w:rPr>
      </w:pPr>
      <w:r w:rsidRPr="00F63C23">
        <w:rPr>
          <w:rFonts w:asciiTheme="majorHAnsi" w:hAnsiTheme="majorHAnsi"/>
          <w:b/>
          <w:color w:val="000000" w:themeColor="text1"/>
          <w:sz w:val="28"/>
          <w:szCs w:val="28"/>
        </w:rPr>
        <w:t>– MID YEAR PERFORMANCE REVIEW</w:t>
      </w:r>
      <w:r>
        <w:rPr>
          <w:rFonts w:asciiTheme="majorHAnsi" w:hAnsiTheme="majorHAnsi"/>
          <w:b/>
          <w:color w:val="000000" w:themeColor="text1"/>
          <w:sz w:val="28"/>
          <w:szCs w:val="28"/>
        </w:rPr>
        <w:t xml:space="preserve"> (July)</w:t>
      </w:r>
      <w:r w:rsidR="006C7903">
        <w:rPr>
          <w:rFonts w:asciiTheme="majorHAnsi" w:hAnsiTheme="majorHAnsi"/>
          <w:b/>
          <w:color w:val="000000" w:themeColor="text1"/>
          <w:sz w:val="28"/>
          <w:szCs w:val="28"/>
        </w:rPr>
        <w:t xml:space="preserve"> -</w:t>
      </w:r>
    </w:p>
    <w:p w:rsidR="00F63C23" w:rsidRPr="00F63C23" w:rsidRDefault="00F63C23" w:rsidP="007F1E53">
      <w:pPr>
        <w:pStyle w:val="PMRtextmaincontenttext"/>
        <w:ind w:right="216"/>
        <w:jc w:val="both"/>
        <w:rPr>
          <w:rFonts w:asciiTheme="majorHAnsi" w:hAnsiTheme="majorHAnsi" w:cstheme="minorHAnsi"/>
          <w:b/>
          <w:color w:val="000000" w:themeColor="text1"/>
          <w:sz w:val="24"/>
          <w:szCs w:val="20"/>
        </w:rPr>
      </w:pPr>
      <w:r w:rsidRPr="00F63C23">
        <w:rPr>
          <w:rFonts w:asciiTheme="majorHAnsi" w:hAnsiTheme="majorHAnsi" w:cstheme="minorHAnsi"/>
          <w:b/>
          <w:noProof/>
          <w:color w:val="000000" w:themeColor="text1"/>
          <w:sz w:val="24"/>
          <w:szCs w:val="20"/>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2743</wp:posOffset>
            </wp:positionV>
            <wp:extent cx="863194" cy="775411"/>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6631" name="Picture 1"/>
                    <pic:cNvPicPr>
                      <a:picLocks noChangeAspect="1" noChangeArrowheads="1"/>
                    </pic:cNvPicPr>
                  </pic:nvPicPr>
                  <pic:blipFill>
                    <a:blip r:embed="rId7" cstate="print"/>
                    <a:srcRect/>
                    <a:stretch>
                      <a:fillRect/>
                    </a:stretch>
                  </pic:blipFill>
                  <pic:spPr bwMode="auto">
                    <a:xfrm>
                      <a:off x="0" y="0"/>
                      <a:ext cx="863194" cy="775411"/>
                    </a:xfrm>
                    <a:prstGeom prst="rect">
                      <a:avLst/>
                    </a:prstGeom>
                    <a:noFill/>
                    <a:ln w="9525">
                      <a:noFill/>
                      <a:miter lim="800000"/>
                      <a:headEnd/>
                      <a:tailEnd/>
                    </a:ln>
                  </pic:spPr>
                </pic:pic>
              </a:graphicData>
            </a:graphic>
          </wp:anchor>
        </w:drawing>
      </w:r>
    </w:p>
    <w:p w:rsidR="00465157" w:rsidRPr="00F63C23" w:rsidRDefault="00465157" w:rsidP="007F1E53">
      <w:pPr>
        <w:pStyle w:val="PMRtextmaincontenttext"/>
        <w:ind w:right="216"/>
        <w:jc w:val="both"/>
        <w:rPr>
          <w:rFonts w:asciiTheme="minorHAnsi" w:hAnsiTheme="minorHAnsi" w:cstheme="minorHAnsi"/>
          <w:b/>
          <w:color w:val="000000" w:themeColor="text1"/>
          <w:sz w:val="28"/>
          <w:szCs w:val="28"/>
        </w:rPr>
      </w:pPr>
      <w:r w:rsidRPr="00F63C23">
        <w:rPr>
          <w:rFonts w:asciiTheme="minorHAnsi" w:hAnsiTheme="minorHAnsi" w:cstheme="minorHAnsi"/>
          <w:b/>
          <w:color w:val="000000" w:themeColor="text1"/>
          <w:sz w:val="28"/>
          <w:szCs w:val="28"/>
        </w:rPr>
        <w:t>EDUCATION IN EMERGENCIES SECTOR</w:t>
      </w:r>
    </w:p>
    <w:p w:rsidR="00465157" w:rsidRDefault="00465157" w:rsidP="007F1E53">
      <w:pPr>
        <w:pStyle w:val="PMRtextmaincontenttext"/>
        <w:ind w:right="216"/>
        <w:jc w:val="both"/>
        <w:rPr>
          <w:b/>
          <w:color w:val="000000" w:themeColor="text1"/>
          <w:sz w:val="24"/>
          <w:szCs w:val="20"/>
          <w:u w:val="single"/>
        </w:rPr>
      </w:pPr>
    </w:p>
    <w:p w:rsidR="007C1B65" w:rsidRPr="007F1E53" w:rsidRDefault="009128BB" w:rsidP="007F1E53">
      <w:pPr>
        <w:pStyle w:val="PMRtextmaincontenttext"/>
        <w:ind w:right="216"/>
        <w:jc w:val="both"/>
        <w:rPr>
          <w:b/>
          <w:color w:val="000000" w:themeColor="text1"/>
          <w:sz w:val="24"/>
          <w:szCs w:val="20"/>
          <w:u w:val="single"/>
        </w:rPr>
      </w:pPr>
      <w:r w:rsidRPr="007F1E53">
        <w:rPr>
          <w:b/>
          <w:color w:val="000000" w:themeColor="text1"/>
          <w:sz w:val="24"/>
          <w:szCs w:val="20"/>
          <w:u w:val="single"/>
        </w:rPr>
        <w:t>Overview</w:t>
      </w:r>
      <w:bookmarkEnd w:id="0"/>
      <w:bookmarkEnd w:id="1"/>
    </w:p>
    <w:p w:rsidR="009128BB" w:rsidRPr="007F1E53" w:rsidRDefault="009128BB" w:rsidP="007F1E53">
      <w:pPr>
        <w:pStyle w:val="PMRtextmaincontenttext"/>
        <w:ind w:right="216"/>
        <w:jc w:val="both"/>
        <w:rPr>
          <w:b/>
          <w:color w:val="026CB6"/>
          <w:sz w:val="22"/>
          <w:szCs w:val="20"/>
        </w:rPr>
      </w:pPr>
      <w:r w:rsidRPr="007F1E53">
        <w:rPr>
          <w:b/>
          <w:color w:val="026CB6"/>
          <w:sz w:val="22"/>
          <w:szCs w:val="20"/>
        </w:rPr>
        <w:t xml:space="preserve">Key achievements toward Strategic Objectives </w:t>
      </w:r>
    </w:p>
    <w:p w:rsidR="00060B7D" w:rsidRDefault="00060B7D" w:rsidP="007F1E53">
      <w:pPr>
        <w:pStyle w:val="PMRtextmaincontenttext"/>
        <w:ind w:right="216"/>
        <w:jc w:val="both"/>
        <w:rPr>
          <w:b/>
        </w:rPr>
      </w:pPr>
      <w:r w:rsidRPr="00060B7D">
        <w:rPr>
          <w:b/>
        </w:rPr>
        <w:t>Rakhine</w:t>
      </w:r>
    </w:p>
    <w:p w:rsidR="000828AE" w:rsidRDefault="009018A0" w:rsidP="000828AE">
      <w:pPr>
        <w:pStyle w:val="PMRtextmaincontenttext"/>
        <w:ind w:right="216"/>
        <w:jc w:val="both"/>
      </w:pPr>
      <w:r>
        <w:t>Whilst the events in Rakhine</w:t>
      </w:r>
      <w:r w:rsidR="00A54685">
        <w:t xml:space="preserve"> State</w:t>
      </w:r>
      <w:r>
        <w:t xml:space="preserve"> at the end of March led to delays in </w:t>
      </w:r>
      <w:r w:rsidR="00A54685">
        <w:t xml:space="preserve">implementing and </w:t>
      </w:r>
      <w:r>
        <w:t xml:space="preserve">expanding existing </w:t>
      </w:r>
      <w:proofErr w:type="spellStart"/>
      <w:r>
        <w:t>programmes</w:t>
      </w:r>
      <w:proofErr w:type="spellEnd"/>
      <w:r>
        <w:t xml:space="preserve"> and starting new (funded) initiatives, progress has been made in 2014 to improve access to education opportunities in Rakhine.</w:t>
      </w:r>
      <w:r w:rsidR="000828AE" w:rsidRPr="000828AE">
        <w:t xml:space="preserve"> </w:t>
      </w:r>
      <w:r w:rsidR="000828AE">
        <w:t>ECCD services for children aged 3-5 have st</w:t>
      </w:r>
      <w:r>
        <w:t xml:space="preserve">arted in some Sittwe camps - </w:t>
      </w:r>
      <w:r w:rsidR="002B22A2">
        <w:t>526</w:t>
      </w:r>
      <w:r w:rsidR="000828AE">
        <w:t xml:space="preserve"> children are currently attending which is a start </w:t>
      </w:r>
      <w:r w:rsidR="002B22A2">
        <w:t xml:space="preserve">(albeit a small one) </w:t>
      </w:r>
      <w:r w:rsidR="000828AE">
        <w:t>towards the end</w:t>
      </w:r>
      <w:r w:rsidR="00370A51">
        <w:t>-</w:t>
      </w:r>
      <w:r w:rsidR="000828AE">
        <w:t>of</w:t>
      </w:r>
      <w:r w:rsidR="00370A51">
        <w:t>-</w:t>
      </w:r>
      <w:r w:rsidR="000828AE">
        <w:t xml:space="preserve">year target of </w:t>
      </w:r>
      <w:r>
        <w:t>9000</w:t>
      </w:r>
      <w:r w:rsidR="000828AE">
        <w:t>.</w:t>
      </w:r>
      <w:r w:rsidR="000828AE" w:rsidRPr="000828AE">
        <w:t xml:space="preserve"> </w:t>
      </w:r>
      <w:r w:rsidR="000828AE">
        <w:t>Coverage of education for primary-school</w:t>
      </w:r>
      <w:r>
        <w:t>-aged</w:t>
      </w:r>
      <w:r w:rsidR="000828AE">
        <w:t xml:space="preserve"> IDP</w:t>
      </w:r>
      <w:r>
        <w:t xml:space="preserve"> children</w:t>
      </w:r>
      <w:r w:rsidR="000828AE">
        <w:t xml:space="preserve"> has increased from </w:t>
      </w:r>
      <w:r>
        <w:t xml:space="preserve">approximately 50% to </w:t>
      </w:r>
      <w:proofErr w:type="gramStart"/>
      <w:r w:rsidR="002B22A2">
        <w:t>72%</w:t>
      </w:r>
      <w:proofErr w:type="gramEnd"/>
      <w:r w:rsidR="003A1B08">
        <w:t>,</w:t>
      </w:r>
      <w:r w:rsidR="00E92376">
        <w:t>(23,475 enrolled</w:t>
      </w:r>
      <w:r w:rsidR="00D575E6">
        <w:t xml:space="preserve"> as </w:t>
      </w:r>
      <w:r w:rsidR="00257972">
        <w:t>at</w:t>
      </w:r>
      <w:r w:rsidR="00D575E6">
        <w:t xml:space="preserve"> </w:t>
      </w:r>
      <w:r w:rsidR="00257972">
        <w:t>end June 2014</w:t>
      </w:r>
      <w:r w:rsidR="00E92376">
        <w:t>)</w:t>
      </w:r>
      <w:r w:rsidR="003A1B08">
        <w:t xml:space="preserve"> </w:t>
      </w:r>
      <w:r w:rsidR="000828AE">
        <w:t xml:space="preserve">and </w:t>
      </w:r>
      <w:r w:rsidR="002B22A2">
        <w:t xml:space="preserve">as </w:t>
      </w:r>
      <w:r w:rsidR="000828AE">
        <w:t xml:space="preserve">funding continues to increase </w:t>
      </w:r>
      <w:r w:rsidR="002B22A2">
        <w:t>this is expected to grow</w:t>
      </w:r>
      <w:r w:rsidR="000828AE">
        <w:t xml:space="preserve"> further.</w:t>
      </w:r>
      <w:r w:rsidR="000828AE" w:rsidRPr="000828AE">
        <w:t xml:space="preserve"> </w:t>
      </w:r>
      <w:r w:rsidR="000828AE">
        <w:t xml:space="preserve">Non-formal education services for adolescents in the </w:t>
      </w:r>
      <w:r w:rsidR="00257972">
        <w:t xml:space="preserve">IDP </w:t>
      </w:r>
      <w:r w:rsidR="000828AE">
        <w:t xml:space="preserve">camps </w:t>
      </w:r>
      <w:r w:rsidR="002B22A2">
        <w:t>have started</w:t>
      </w:r>
      <w:r w:rsidR="000828AE">
        <w:t xml:space="preserve"> and at mid-yea</w:t>
      </w:r>
      <w:r w:rsidR="002B22A2">
        <w:t>r 1895 (8%)</w:t>
      </w:r>
      <w:r w:rsidR="00E92376">
        <w:t xml:space="preserve"> are registered</w:t>
      </w:r>
      <w:r w:rsidR="000828AE">
        <w:t xml:space="preserve">. </w:t>
      </w:r>
      <w:r w:rsidR="00370A51">
        <w:t>Additional f</w:t>
      </w:r>
      <w:r w:rsidR="000828AE">
        <w:t xml:space="preserve">unding has been secured to expand these services </w:t>
      </w:r>
      <w:r w:rsidR="00255E2F">
        <w:t xml:space="preserve">in 2014, but more is </w:t>
      </w:r>
      <w:r w:rsidR="00370A51">
        <w:t>needed</w:t>
      </w:r>
      <w:r w:rsidR="00255E2F">
        <w:t xml:space="preserve"> to make the </w:t>
      </w:r>
      <w:r>
        <w:t>end-of-year target of 50%</w:t>
      </w:r>
      <w:r w:rsidR="000828AE">
        <w:t xml:space="preserve"> </w:t>
      </w:r>
      <w:r w:rsidR="00257972">
        <w:t xml:space="preserve">(of the camp adolescent population) </w:t>
      </w:r>
      <w:r w:rsidR="00D575E6">
        <w:t>achievable</w:t>
      </w:r>
      <w:r w:rsidR="000828AE">
        <w:t>.</w:t>
      </w:r>
    </w:p>
    <w:p w:rsidR="000828AE" w:rsidRDefault="000828AE" w:rsidP="000828AE">
      <w:pPr>
        <w:pStyle w:val="PMRtextmaincontenttext"/>
        <w:ind w:right="216"/>
        <w:jc w:val="both"/>
      </w:pPr>
      <w:r>
        <w:t>As part of the move to improve quality, partners have agreed to expand the curriculum for primary-school IDPs to ali</w:t>
      </w:r>
      <w:r w:rsidR="003A1B08">
        <w:t xml:space="preserve">gn with the Government system, </w:t>
      </w:r>
      <w:r>
        <w:t>a move which also aims to facilitate greater Government engagement with IDP education services.</w:t>
      </w:r>
      <w:r w:rsidRPr="000828AE">
        <w:t xml:space="preserve"> </w:t>
      </w:r>
      <w:r>
        <w:t>A joint initiative between the EiE Sector and C</w:t>
      </w:r>
      <w:r w:rsidR="003A1B08">
        <w:t xml:space="preserve">hild </w:t>
      </w:r>
      <w:r>
        <w:t>P</w:t>
      </w:r>
      <w:r w:rsidR="003A1B08">
        <w:t>rotection</w:t>
      </w:r>
      <w:r>
        <w:t xml:space="preserve"> sub-sector (led by CP) to harmonize and expand the adolescent NFE package in Rakhine</w:t>
      </w:r>
      <w:r w:rsidR="00A54685">
        <w:t xml:space="preserve"> State</w:t>
      </w:r>
      <w:r>
        <w:t xml:space="preserve"> should also result in expanded coverage, as well as improved quality through the incorporation of protective life-skills.</w:t>
      </w:r>
    </w:p>
    <w:p w:rsidR="000828AE" w:rsidRDefault="000828AE" w:rsidP="007F1E53">
      <w:pPr>
        <w:pStyle w:val="PMRtextmaincontenttext"/>
        <w:ind w:right="216"/>
        <w:jc w:val="both"/>
        <w:rPr>
          <w:b/>
        </w:rPr>
      </w:pPr>
    </w:p>
    <w:p w:rsidR="00060B7D" w:rsidRPr="008D22AC" w:rsidRDefault="00060B7D" w:rsidP="007F1E53">
      <w:pPr>
        <w:pStyle w:val="PMRtextmaincontenttext"/>
        <w:ind w:right="216"/>
        <w:jc w:val="both"/>
        <w:rPr>
          <w:b/>
        </w:rPr>
      </w:pPr>
      <w:r w:rsidRPr="008D22AC">
        <w:rPr>
          <w:b/>
        </w:rPr>
        <w:t>Kachin</w:t>
      </w:r>
      <w:r w:rsidR="007C5338">
        <w:rPr>
          <w:rFonts w:cs="Arial"/>
          <w:b/>
          <w:color w:val="000000" w:themeColor="text1"/>
          <w:szCs w:val="20"/>
        </w:rPr>
        <w:t xml:space="preserve"> </w:t>
      </w:r>
      <w:r w:rsidR="007C5338">
        <w:rPr>
          <w:b/>
        </w:rPr>
        <w:t>&amp; northern Shan</w:t>
      </w:r>
    </w:p>
    <w:p w:rsidR="00E45A1D" w:rsidRDefault="008D22AC" w:rsidP="00E45A1D">
      <w:pPr>
        <w:pStyle w:val="PMRtextmaincontenttext"/>
        <w:ind w:right="216"/>
        <w:jc w:val="both"/>
      </w:pPr>
      <w:r>
        <w:t>Although solid data on the extent of the need and coverage in Kachin remains scar</w:t>
      </w:r>
      <w:r w:rsidR="008E6011">
        <w:t xml:space="preserve">ce, </w:t>
      </w:r>
      <w:r w:rsidR="003A1B08">
        <w:t xml:space="preserve">due </w:t>
      </w:r>
      <w:r w:rsidR="008E6011">
        <w:t>to a multi-sector</w:t>
      </w:r>
      <w:r w:rsidR="003A1B08">
        <w:t xml:space="preserve"> attention,</w:t>
      </w:r>
      <w:r>
        <w:t xml:space="preserve"> more is now known about the situation in the boarding schools of NGCA (KCA) Kachin and, in response to this, guidelines on intervention </w:t>
      </w:r>
      <w:r w:rsidR="00861E04">
        <w:t xml:space="preserve">were </w:t>
      </w:r>
      <w:r>
        <w:t xml:space="preserve">released and new </w:t>
      </w:r>
      <w:proofErr w:type="spellStart"/>
      <w:r>
        <w:t>programmes</w:t>
      </w:r>
      <w:proofErr w:type="spellEnd"/>
      <w:r>
        <w:t xml:space="preserve"> targeting some of these needs started.</w:t>
      </w:r>
      <w:r w:rsidR="00E45A1D" w:rsidRPr="00E45A1D">
        <w:t xml:space="preserve"> </w:t>
      </w:r>
      <w:r w:rsidR="00E45A1D">
        <w:t xml:space="preserve">Small-scale but rapid EiE funding is now available to support responses to the type of displacements recently seen in Kachin and northern Shan. </w:t>
      </w:r>
    </w:p>
    <w:p w:rsidR="00E45A1D" w:rsidRDefault="008D22AC" w:rsidP="007F1E53">
      <w:pPr>
        <w:pStyle w:val="PMRtextmaincontenttext"/>
        <w:ind w:right="216"/>
        <w:jc w:val="both"/>
      </w:pPr>
      <w:r>
        <w:t>Additional short-term and longer-term funding to support the KIO Education Department</w:t>
      </w:r>
      <w:r w:rsidR="00861E04">
        <w:t xml:space="preserve"> (KIO ED)</w:t>
      </w:r>
      <w:r>
        <w:t xml:space="preserve"> in NGCA (KCA) Kachin was also accessed during the beginning of 2014, the benefits of which should start registering in the latter part of the year.</w:t>
      </w:r>
      <w:r w:rsidR="00140E3B">
        <w:t xml:space="preserve"> </w:t>
      </w:r>
      <w:r w:rsidR="00E45A1D">
        <w:t>More middle schools are being opened in the IDP camps of NGCA (KCA) Kachin</w:t>
      </w:r>
      <w:r w:rsidR="0057387C">
        <w:t xml:space="preserve"> by the IRRC/KIO ED</w:t>
      </w:r>
      <w:r w:rsidR="00E45A1D">
        <w:t xml:space="preserve"> which is relieving some of the pressure and dependency on the boarding schools.</w:t>
      </w:r>
    </w:p>
    <w:p w:rsidR="003B3C9C" w:rsidRDefault="00370A51" w:rsidP="00370A51">
      <w:pPr>
        <w:pStyle w:val="PMRtextmaincontenttext"/>
        <w:ind w:right="216"/>
        <w:jc w:val="both"/>
      </w:pPr>
      <w:r>
        <w:t>Although not yet at the implementation phase, planning and consultation on the current</w:t>
      </w:r>
      <w:r w:rsidR="003B3C9C">
        <w:t xml:space="preserve"> </w:t>
      </w:r>
      <w:r w:rsidR="003A1B08">
        <w:t>Mine Risk Education (</w:t>
      </w:r>
      <w:r w:rsidR="006C7903">
        <w:t>MRE</w:t>
      </w:r>
      <w:r w:rsidR="003A1B08">
        <w:t>)</w:t>
      </w:r>
      <w:r w:rsidR="003B3C9C">
        <w:t xml:space="preserve"> initiative (led by the C</w:t>
      </w:r>
      <w:r w:rsidR="003A1B08">
        <w:t>P</w:t>
      </w:r>
      <w:r w:rsidR="003B3C9C">
        <w:t xml:space="preserve"> sub-sector)</w:t>
      </w:r>
      <w:r w:rsidR="000B1D7F">
        <w:t xml:space="preserve"> is</w:t>
      </w:r>
      <w:r>
        <w:t xml:space="preserve"> progressing</w:t>
      </w:r>
      <w:r w:rsidR="000B1D7F">
        <w:t xml:space="preserve"> and w</w:t>
      </w:r>
      <w:r>
        <w:t>hen programming</w:t>
      </w:r>
      <w:r w:rsidR="00861E04">
        <w:t xml:space="preserve"> commence</w:t>
      </w:r>
      <w:r>
        <w:t>s</w:t>
      </w:r>
      <w:r w:rsidR="00861E04">
        <w:t>,</w:t>
      </w:r>
      <w:r w:rsidR="003B3C9C">
        <w:t xml:space="preserve"> the </w:t>
      </w:r>
      <w:r w:rsidR="00861E04">
        <w:t xml:space="preserve">EiE </w:t>
      </w:r>
      <w:r w:rsidR="003B3C9C">
        <w:t>sector stands by to assume its delivery role in this</w:t>
      </w:r>
      <w:r w:rsidR="000B1D7F">
        <w:t>. This may</w:t>
      </w:r>
      <w:r w:rsidR="003B3C9C">
        <w:t xml:space="preserve"> potentially start with the boarding schools in NGCA (KCA) Kachin before the end of the 2014.</w:t>
      </w:r>
    </w:p>
    <w:p w:rsidR="00ED2D42" w:rsidRDefault="00ED2D42" w:rsidP="00ED2D42">
      <w:pPr>
        <w:pStyle w:val="PMRtextmaincontenttext"/>
        <w:ind w:right="216"/>
        <w:jc w:val="both"/>
      </w:pPr>
      <w:r>
        <w:t xml:space="preserve">In GCA the Government’s </w:t>
      </w:r>
      <w:r w:rsidR="003A1B08">
        <w:t>approach to providing</w:t>
      </w:r>
      <w:r>
        <w:t xml:space="preserve"> education to IDP children through regular schools (primary and middle) has been reinforced by a commitment to provide it free of charge, including textbooks. In NGCA (KCA) Kachin, the planned multi-agency education assessment (September 2014) should provide the basis for improvi</w:t>
      </w:r>
      <w:r w:rsidR="001B392C">
        <w:t>n</w:t>
      </w:r>
      <w:r>
        <w:t>g Education sector coordination, strategizing, planning and fundraising in these areas.</w:t>
      </w:r>
    </w:p>
    <w:p w:rsidR="008E6011" w:rsidRDefault="008E6011" w:rsidP="007F1E53">
      <w:pPr>
        <w:pStyle w:val="PMRtextmaincontenttext"/>
        <w:ind w:right="216"/>
        <w:jc w:val="both"/>
        <w:rPr>
          <w:b/>
          <w:color w:val="026CB6"/>
          <w:sz w:val="22"/>
          <w:szCs w:val="20"/>
        </w:rPr>
      </w:pPr>
    </w:p>
    <w:p w:rsidR="0019475D" w:rsidRDefault="0019475D" w:rsidP="007F1E53">
      <w:pPr>
        <w:pStyle w:val="PMRtextmaincontenttext"/>
        <w:ind w:right="216"/>
        <w:jc w:val="both"/>
        <w:rPr>
          <w:b/>
          <w:color w:val="026CB6"/>
          <w:sz w:val="22"/>
          <w:szCs w:val="20"/>
        </w:rPr>
      </w:pPr>
      <w:r w:rsidRPr="007F1E53">
        <w:rPr>
          <w:b/>
          <w:color w:val="026CB6"/>
          <w:sz w:val="22"/>
          <w:szCs w:val="20"/>
        </w:rPr>
        <w:t>Challenges</w:t>
      </w:r>
    </w:p>
    <w:p w:rsidR="00CA2CEB" w:rsidRPr="00CA2CEB" w:rsidRDefault="00CA2CEB" w:rsidP="007F1E53">
      <w:pPr>
        <w:pStyle w:val="PMRtextmaincontenttext"/>
        <w:ind w:right="216"/>
        <w:jc w:val="both"/>
        <w:rPr>
          <w:b/>
        </w:rPr>
      </w:pPr>
      <w:r w:rsidRPr="00CA2CEB">
        <w:rPr>
          <w:b/>
        </w:rPr>
        <w:t>Rakhine</w:t>
      </w:r>
    </w:p>
    <w:p w:rsidR="00800468" w:rsidRDefault="005F1ADD" w:rsidP="007F1E53">
      <w:pPr>
        <w:pStyle w:val="PMRtextmaincontenttext"/>
        <w:ind w:right="216"/>
        <w:jc w:val="both"/>
      </w:pPr>
      <w:r>
        <w:t>Access to land</w:t>
      </w:r>
      <w:r w:rsidRPr="005D7FE8">
        <w:t xml:space="preserve"> in the IDP camps </w:t>
      </w:r>
      <w:r>
        <w:t>in</w:t>
      </w:r>
      <w:r w:rsidRPr="005D7FE8">
        <w:t xml:space="preserve"> Rakhine</w:t>
      </w:r>
      <w:r>
        <w:t xml:space="preserve"> State</w:t>
      </w:r>
      <w:r w:rsidRPr="005D7FE8">
        <w:t xml:space="preserve"> means that education sector partners continue to struggle to find suitable sites for temporary learning spaces</w:t>
      </w:r>
      <w:r w:rsidR="00255E2F">
        <w:t xml:space="preserve"> (TLS)</w:t>
      </w:r>
      <w:r w:rsidRPr="005D7FE8">
        <w:t xml:space="preserve">. </w:t>
      </w:r>
      <w:r>
        <w:t xml:space="preserve">Identifying and retaining suitable candidates as </w:t>
      </w:r>
      <w:r>
        <w:lastRenderedPageBreak/>
        <w:t>volunteer teachers (particularly females) is also a challenge given the low level of education in many camps</w:t>
      </w:r>
      <w:r w:rsidR="00C76B4C">
        <w:t xml:space="preserve">. </w:t>
      </w:r>
      <w:r w:rsidR="00255E2F">
        <w:t>C</w:t>
      </w:r>
      <w:r w:rsidR="00C76B4C">
        <w:t>ompetiti</w:t>
      </w:r>
      <w:r>
        <w:t>on</w:t>
      </w:r>
      <w:r w:rsidR="00C76B4C">
        <w:t xml:space="preserve"> between sectors </w:t>
      </w:r>
      <w:r w:rsidR="00255E2F">
        <w:t>and organizations f</w:t>
      </w:r>
      <w:r w:rsidR="00C76B4C">
        <w:t xml:space="preserve">or implementing </w:t>
      </w:r>
      <w:r>
        <w:t>staff</w:t>
      </w:r>
      <w:r w:rsidR="00255E2F">
        <w:t xml:space="preserve"> </w:t>
      </w:r>
      <w:r w:rsidR="00BD512D">
        <w:t>compounds this</w:t>
      </w:r>
      <w:r>
        <w:t>.</w:t>
      </w:r>
    </w:p>
    <w:p w:rsidR="00171D74" w:rsidRPr="005D7FE8" w:rsidRDefault="00255E2F" w:rsidP="007F1E53">
      <w:pPr>
        <w:pStyle w:val="PMRtextmaincontenttext"/>
        <w:ind w:right="216"/>
        <w:jc w:val="both"/>
      </w:pPr>
      <w:r>
        <w:t xml:space="preserve">Coordination and </w:t>
      </w:r>
      <w:r w:rsidR="00800468">
        <w:t>collaboration with</w:t>
      </w:r>
      <w:r w:rsidR="00CA2CEB">
        <w:t xml:space="preserve"> Government education </w:t>
      </w:r>
      <w:r w:rsidR="00C60337">
        <w:t>authorities in Rakhine</w:t>
      </w:r>
      <w:r w:rsidR="00800468">
        <w:t xml:space="preserve"> State</w:t>
      </w:r>
      <w:r w:rsidR="00C60337">
        <w:t xml:space="preserve"> continue</w:t>
      </w:r>
      <w:r w:rsidR="00800468">
        <w:t xml:space="preserve">s. However, additional </w:t>
      </w:r>
      <w:r w:rsidR="00CA2CEB">
        <w:t>support</w:t>
      </w:r>
      <w:r w:rsidR="00800468">
        <w:t xml:space="preserve"> from the Union level </w:t>
      </w:r>
      <w:proofErr w:type="spellStart"/>
      <w:r w:rsidR="00800468">
        <w:t>MoE</w:t>
      </w:r>
      <w:proofErr w:type="spellEnd"/>
      <w:r w:rsidR="00800468">
        <w:t xml:space="preserve"> to the State level education authorities would significantly improve the overall response, especially in areas without implementing agencies. Additional support from the State </w:t>
      </w:r>
      <w:r>
        <w:t>E</w:t>
      </w:r>
      <w:r w:rsidR="00800468">
        <w:t xml:space="preserve">ducation </w:t>
      </w:r>
      <w:r>
        <w:t>D</w:t>
      </w:r>
      <w:r w:rsidR="00800468">
        <w:t>epartment in terms of</w:t>
      </w:r>
      <w:r w:rsidR="00CA2CEB">
        <w:t xml:space="preserve"> </w:t>
      </w:r>
      <w:r w:rsidR="00C60337">
        <w:t>teacher training and recognition</w:t>
      </w:r>
      <w:r w:rsidR="00800468">
        <w:t xml:space="preserve"> of learning achiev</w:t>
      </w:r>
      <w:r>
        <w:t>e</w:t>
      </w:r>
      <w:r w:rsidR="00800468">
        <w:t>ments</w:t>
      </w:r>
      <w:r>
        <w:t xml:space="preserve"> would also </w:t>
      </w:r>
      <w:r w:rsidR="005334D4">
        <w:t>be welcome</w:t>
      </w:r>
      <w:r w:rsidR="00C60337">
        <w:t xml:space="preserve">. </w:t>
      </w:r>
    </w:p>
    <w:p w:rsidR="001D5DF5" w:rsidRDefault="001D5DF5" w:rsidP="007F1E53">
      <w:pPr>
        <w:pStyle w:val="PMRtextmaincontenttext"/>
        <w:ind w:right="216"/>
        <w:jc w:val="both"/>
        <w:rPr>
          <w:b/>
        </w:rPr>
      </w:pPr>
    </w:p>
    <w:p w:rsidR="00CA2CEB" w:rsidRPr="00CA2CEB" w:rsidRDefault="00CA2CEB" w:rsidP="007F1E53">
      <w:pPr>
        <w:pStyle w:val="PMRtextmaincontenttext"/>
        <w:ind w:right="216"/>
        <w:jc w:val="both"/>
        <w:rPr>
          <w:b/>
        </w:rPr>
      </w:pPr>
      <w:r w:rsidRPr="00CA2CEB">
        <w:rPr>
          <w:b/>
        </w:rPr>
        <w:t>Kachin</w:t>
      </w:r>
      <w:r w:rsidR="007C5338">
        <w:rPr>
          <w:rFonts w:cs="Arial"/>
          <w:b/>
          <w:color w:val="000000" w:themeColor="text1"/>
          <w:szCs w:val="20"/>
        </w:rPr>
        <w:t xml:space="preserve"> </w:t>
      </w:r>
      <w:r w:rsidR="007C5338">
        <w:rPr>
          <w:b/>
        </w:rPr>
        <w:t>&amp; northern Shan</w:t>
      </w:r>
    </w:p>
    <w:p w:rsidR="00DA55B0" w:rsidRDefault="00C94869" w:rsidP="007F1E53">
      <w:pPr>
        <w:pStyle w:val="PMRtextmaincontenttext"/>
        <w:ind w:right="216"/>
        <w:jc w:val="both"/>
      </w:pPr>
      <w:r>
        <w:t xml:space="preserve">Education in KCA Kachin continues to be negatively affected by </w:t>
      </w:r>
      <w:r w:rsidR="00DA55B0">
        <w:t xml:space="preserve">continued outbreaks of fighting and resultant displacement. The most recent of these (April 2014) put pressure on education system in areas of northern Shan and caused delays for other students at the start of the new school year. Generally the pace of the peace process continues to limit the funding, access and resources needed to </w:t>
      </w:r>
      <w:r w:rsidR="00861E04">
        <w:t>more comprehensively support</w:t>
      </w:r>
      <w:r w:rsidR="00DA55B0">
        <w:t xml:space="preserve"> education in Kachin (particularly NGCA/KCA).</w:t>
      </w:r>
    </w:p>
    <w:p w:rsidR="00ED2D42" w:rsidRDefault="00CA2CEB" w:rsidP="00ED2D42">
      <w:pPr>
        <w:pStyle w:val="PMRtextmaincontenttext"/>
        <w:ind w:right="216"/>
        <w:jc w:val="both"/>
      </w:pPr>
      <w:r>
        <w:t>Limited information availability and weak coordination between education actors in Kachin, both in and between GCA and NGCA (KCA)</w:t>
      </w:r>
      <w:r w:rsidR="00BD512D">
        <w:t>,</w:t>
      </w:r>
      <w:r>
        <w:t xml:space="preserve"> continues to impact on sector strategizing, planning and fundraising.</w:t>
      </w:r>
      <w:r w:rsidR="00C60337">
        <w:t xml:space="preserve"> </w:t>
      </w:r>
      <w:r w:rsidR="00ED2D42">
        <w:t xml:space="preserve">Although the planned multi-agency education assessment in KCA will improve aspects of this (expected to take place in September 2014), a lot more work in needed in terms of building relationships (and trust) and establishing practicable coordination mechanisms. The limited amount of quantitative information in this report is a result of this.  </w:t>
      </w:r>
    </w:p>
    <w:p w:rsidR="00171D74" w:rsidRDefault="00171D74" w:rsidP="007F1E53">
      <w:pPr>
        <w:pStyle w:val="PMRtextmaincontenttext"/>
        <w:ind w:right="216"/>
        <w:jc w:val="both"/>
        <w:rPr>
          <w:b/>
          <w:color w:val="026CB6"/>
          <w:sz w:val="22"/>
          <w:szCs w:val="20"/>
        </w:rPr>
      </w:pPr>
    </w:p>
    <w:p w:rsidR="009128BB" w:rsidRPr="007F1E53" w:rsidRDefault="009128BB" w:rsidP="007F1E53">
      <w:pPr>
        <w:pStyle w:val="PMRtextmaincontenttext"/>
        <w:ind w:right="216"/>
        <w:jc w:val="both"/>
        <w:rPr>
          <w:b/>
          <w:color w:val="026CB6"/>
          <w:sz w:val="22"/>
          <w:szCs w:val="20"/>
        </w:rPr>
      </w:pPr>
      <w:r w:rsidRPr="007F1E53">
        <w:rPr>
          <w:b/>
          <w:color w:val="026CB6"/>
          <w:sz w:val="22"/>
          <w:szCs w:val="20"/>
        </w:rPr>
        <w:t>Recommendations</w:t>
      </w:r>
    </w:p>
    <w:p w:rsidR="006822EE" w:rsidRPr="006822EE" w:rsidRDefault="006822EE" w:rsidP="007F1E53">
      <w:pPr>
        <w:pStyle w:val="PMRtextmaincontenttext"/>
        <w:ind w:right="216"/>
        <w:jc w:val="both"/>
        <w:rPr>
          <w:rFonts w:cs="Arial"/>
          <w:b/>
          <w:color w:val="000000" w:themeColor="text1"/>
          <w:szCs w:val="20"/>
        </w:rPr>
      </w:pPr>
      <w:r w:rsidRPr="006822EE">
        <w:rPr>
          <w:rFonts w:cs="Arial"/>
          <w:b/>
          <w:color w:val="000000" w:themeColor="text1"/>
          <w:szCs w:val="20"/>
        </w:rPr>
        <w:t>Rakhine</w:t>
      </w:r>
    </w:p>
    <w:p w:rsidR="00800468" w:rsidRDefault="005334D4" w:rsidP="00ED2D42">
      <w:pPr>
        <w:pStyle w:val="PMRtextmaincontenttext"/>
        <w:numPr>
          <w:ilvl w:val="0"/>
          <w:numId w:val="5"/>
        </w:numPr>
        <w:ind w:right="216"/>
        <w:jc w:val="both"/>
        <w:rPr>
          <w:rFonts w:cs="Arial"/>
          <w:color w:val="000000" w:themeColor="text1"/>
          <w:szCs w:val="20"/>
        </w:rPr>
      </w:pPr>
      <w:bookmarkStart w:id="2" w:name="OLE_LINK5"/>
      <w:bookmarkStart w:id="3" w:name="OLE_LINK6"/>
      <w:r>
        <w:rPr>
          <w:rFonts w:cs="Arial"/>
          <w:color w:val="000000" w:themeColor="text1"/>
          <w:szCs w:val="20"/>
        </w:rPr>
        <w:t>Rakhine EiE Sector Coordinator to c</w:t>
      </w:r>
      <w:r w:rsidR="00800468">
        <w:rPr>
          <w:rFonts w:cs="Arial"/>
          <w:color w:val="000000" w:themeColor="text1"/>
          <w:szCs w:val="20"/>
        </w:rPr>
        <w:t>ontinue advocating with State level authorities and CCCM</w:t>
      </w:r>
      <w:r w:rsidR="000C0A13">
        <w:rPr>
          <w:rFonts w:cs="Arial"/>
          <w:color w:val="000000" w:themeColor="text1"/>
          <w:szCs w:val="20"/>
        </w:rPr>
        <w:t xml:space="preserve"> to facilitate and identify sufficient land for construction of </w:t>
      </w:r>
      <w:r>
        <w:rPr>
          <w:rFonts w:cs="Arial"/>
          <w:color w:val="000000" w:themeColor="text1"/>
          <w:szCs w:val="20"/>
        </w:rPr>
        <w:t>t</w:t>
      </w:r>
      <w:r w:rsidR="000C0A13">
        <w:rPr>
          <w:rFonts w:cs="Arial"/>
          <w:color w:val="000000" w:themeColor="text1"/>
          <w:szCs w:val="20"/>
        </w:rPr>
        <w:t xml:space="preserve">emporary </w:t>
      </w:r>
      <w:r>
        <w:rPr>
          <w:rFonts w:cs="Arial"/>
          <w:color w:val="000000" w:themeColor="text1"/>
          <w:szCs w:val="20"/>
        </w:rPr>
        <w:t>l</w:t>
      </w:r>
      <w:r w:rsidR="000C0A13">
        <w:rPr>
          <w:rFonts w:cs="Arial"/>
          <w:color w:val="000000" w:themeColor="text1"/>
          <w:szCs w:val="20"/>
        </w:rPr>
        <w:t xml:space="preserve">earning </w:t>
      </w:r>
      <w:r>
        <w:rPr>
          <w:rFonts w:cs="Arial"/>
          <w:color w:val="000000" w:themeColor="text1"/>
          <w:szCs w:val="20"/>
        </w:rPr>
        <w:t>s</w:t>
      </w:r>
      <w:r w:rsidR="000C0A13">
        <w:rPr>
          <w:rFonts w:cs="Arial"/>
          <w:color w:val="000000" w:themeColor="text1"/>
          <w:szCs w:val="20"/>
        </w:rPr>
        <w:t xml:space="preserve">paces </w:t>
      </w:r>
      <w:r>
        <w:rPr>
          <w:rFonts w:cs="Arial"/>
          <w:color w:val="000000" w:themeColor="text1"/>
          <w:szCs w:val="20"/>
        </w:rPr>
        <w:t xml:space="preserve">(TLS) </w:t>
      </w:r>
      <w:r w:rsidR="00BD512D">
        <w:rPr>
          <w:rFonts w:cs="Arial"/>
          <w:color w:val="000000" w:themeColor="text1"/>
          <w:szCs w:val="20"/>
        </w:rPr>
        <w:t xml:space="preserve">needed </w:t>
      </w:r>
      <w:r w:rsidR="000C0A13">
        <w:rPr>
          <w:rFonts w:cs="Arial"/>
          <w:color w:val="000000" w:themeColor="text1"/>
          <w:szCs w:val="20"/>
        </w:rPr>
        <w:t>in order to increase coverage.</w:t>
      </w:r>
    </w:p>
    <w:p w:rsidR="000C0A13" w:rsidRPr="000C0A13" w:rsidRDefault="005334D4" w:rsidP="000C0A13">
      <w:pPr>
        <w:pStyle w:val="PMRtextmaincontenttext"/>
        <w:numPr>
          <w:ilvl w:val="0"/>
          <w:numId w:val="5"/>
        </w:numPr>
        <w:ind w:right="216"/>
        <w:jc w:val="both"/>
        <w:rPr>
          <w:rFonts w:cs="Arial"/>
          <w:color w:val="000000" w:themeColor="text1"/>
          <w:szCs w:val="20"/>
        </w:rPr>
      </w:pPr>
      <w:r>
        <w:rPr>
          <w:rFonts w:cs="Arial"/>
          <w:color w:val="000000" w:themeColor="text1"/>
          <w:szCs w:val="20"/>
        </w:rPr>
        <w:t>UNICEF to w</w:t>
      </w:r>
      <w:r w:rsidR="000C0A13">
        <w:rPr>
          <w:rFonts w:cs="Arial"/>
          <w:color w:val="000000" w:themeColor="text1"/>
          <w:szCs w:val="20"/>
        </w:rPr>
        <w:t xml:space="preserve">ork with the Ministry of Education </w:t>
      </w:r>
      <w:r>
        <w:rPr>
          <w:rFonts w:cs="Arial"/>
          <w:color w:val="000000" w:themeColor="text1"/>
          <w:szCs w:val="20"/>
        </w:rPr>
        <w:t>(</w:t>
      </w:r>
      <w:proofErr w:type="spellStart"/>
      <w:r>
        <w:rPr>
          <w:rFonts w:cs="Arial"/>
          <w:color w:val="000000" w:themeColor="text1"/>
          <w:szCs w:val="20"/>
        </w:rPr>
        <w:t>MoE</w:t>
      </w:r>
      <w:proofErr w:type="spellEnd"/>
      <w:r>
        <w:rPr>
          <w:rFonts w:cs="Arial"/>
          <w:color w:val="000000" w:themeColor="text1"/>
          <w:szCs w:val="20"/>
        </w:rPr>
        <w:t xml:space="preserve">) </w:t>
      </w:r>
      <w:r w:rsidR="000C0A13">
        <w:rPr>
          <w:rFonts w:cs="Arial"/>
          <w:color w:val="000000" w:themeColor="text1"/>
          <w:szCs w:val="20"/>
        </w:rPr>
        <w:t xml:space="preserve">and relevant partners to establish </w:t>
      </w:r>
      <w:r>
        <w:rPr>
          <w:rFonts w:cs="Arial"/>
          <w:color w:val="000000" w:themeColor="text1"/>
          <w:szCs w:val="20"/>
        </w:rPr>
        <w:t>a</w:t>
      </w:r>
      <w:r w:rsidR="000C0A13">
        <w:rPr>
          <w:rFonts w:cs="Arial"/>
          <w:color w:val="000000" w:themeColor="text1"/>
          <w:szCs w:val="20"/>
        </w:rPr>
        <w:t xml:space="preserve"> Rakhine State </w:t>
      </w:r>
      <w:r>
        <w:rPr>
          <w:rFonts w:cs="Arial"/>
          <w:color w:val="000000" w:themeColor="text1"/>
          <w:szCs w:val="20"/>
        </w:rPr>
        <w:t>E</w:t>
      </w:r>
      <w:r w:rsidR="000C0A13">
        <w:rPr>
          <w:rFonts w:cs="Arial"/>
          <w:color w:val="000000" w:themeColor="text1"/>
          <w:szCs w:val="20"/>
        </w:rPr>
        <w:t xml:space="preserve">ducation </w:t>
      </w:r>
      <w:r>
        <w:rPr>
          <w:rFonts w:cs="Arial"/>
          <w:color w:val="000000" w:themeColor="text1"/>
          <w:szCs w:val="20"/>
        </w:rPr>
        <w:t>T</w:t>
      </w:r>
      <w:r w:rsidR="000C0A13">
        <w:rPr>
          <w:rFonts w:cs="Arial"/>
          <w:color w:val="000000" w:themeColor="text1"/>
          <w:szCs w:val="20"/>
        </w:rPr>
        <w:t xml:space="preserve">ask </w:t>
      </w:r>
      <w:r>
        <w:rPr>
          <w:rFonts w:cs="Arial"/>
          <w:color w:val="000000" w:themeColor="text1"/>
          <w:szCs w:val="20"/>
        </w:rPr>
        <w:t>F</w:t>
      </w:r>
      <w:r w:rsidR="000C0A13">
        <w:rPr>
          <w:rFonts w:cs="Arial"/>
          <w:color w:val="000000" w:themeColor="text1"/>
          <w:szCs w:val="20"/>
        </w:rPr>
        <w:t>orce aiming to improve the coordination between Union and State level on all issues related to education</w:t>
      </w:r>
      <w:r w:rsidR="00BD512D">
        <w:rPr>
          <w:rFonts w:cs="Arial"/>
          <w:color w:val="000000" w:themeColor="text1"/>
          <w:szCs w:val="20"/>
        </w:rPr>
        <w:t xml:space="preserve"> </w:t>
      </w:r>
      <w:r>
        <w:rPr>
          <w:rFonts w:cs="Arial"/>
          <w:color w:val="000000" w:themeColor="text1"/>
          <w:szCs w:val="20"/>
        </w:rPr>
        <w:t>and</w:t>
      </w:r>
      <w:r w:rsidR="000C0A13">
        <w:rPr>
          <w:rFonts w:cs="Arial"/>
          <w:color w:val="000000" w:themeColor="text1"/>
          <w:szCs w:val="20"/>
        </w:rPr>
        <w:t xml:space="preserve"> </w:t>
      </w:r>
      <w:r>
        <w:rPr>
          <w:rFonts w:cs="Arial"/>
          <w:color w:val="000000" w:themeColor="text1"/>
          <w:szCs w:val="20"/>
        </w:rPr>
        <w:t xml:space="preserve">act as the main advocacy </w:t>
      </w:r>
      <w:r w:rsidR="000C0A13">
        <w:rPr>
          <w:rFonts w:cs="Arial"/>
          <w:color w:val="000000" w:themeColor="text1"/>
          <w:szCs w:val="20"/>
        </w:rPr>
        <w:t>platform.</w:t>
      </w:r>
    </w:p>
    <w:p w:rsidR="00685D82" w:rsidRDefault="005334D4" w:rsidP="00ED2D42">
      <w:pPr>
        <w:pStyle w:val="PMRtextmaincontenttext"/>
        <w:numPr>
          <w:ilvl w:val="0"/>
          <w:numId w:val="5"/>
        </w:numPr>
        <w:ind w:right="216"/>
        <w:jc w:val="both"/>
        <w:rPr>
          <w:rFonts w:cs="Arial"/>
          <w:color w:val="000000" w:themeColor="text1"/>
          <w:szCs w:val="20"/>
        </w:rPr>
      </w:pPr>
      <w:r>
        <w:rPr>
          <w:rFonts w:cs="Arial"/>
          <w:color w:val="000000" w:themeColor="text1"/>
          <w:szCs w:val="20"/>
        </w:rPr>
        <w:t>National EiE Coordinator and UNICEF to continue</w:t>
      </w:r>
      <w:r w:rsidR="008F6E91">
        <w:rPr>
          <w:rFonts w:cs="Arial"/>
          <w:color w:val="000000" w:themeColor="text1"/>
          <w:szCs w:val="20"/>
        </w:rPr>
        <w:t xml:space="preserve"> </w:t>
      </w:r>
      <w:r w:rsidR="00BD512D">
        <w:rPr>
          <w:rFonts w:cs="Arial"/>
          <w:color w:val="000000" w:themeColor="text1"/>
          <w:szCs w:val="20"/>
        </w:rPr>
        <w:t>promoting</w:t>
      </w:r>
      <w:r w:rsidR="008F6E91">
        <w:rPr>
          <w:rFonts w:cs="Arial"/>
          <w:color w:val="000000" w:themeColor="text1"/>
          <w:szCs w:val="20"/>
        </w:rPr>
        <w:t xml:space="preserve"> </w:t>
      </w:r>
      <w:r w:rsidR="00BD512D">
        <w:rPr>
          <w:rFonts w:cs="Arial"/>
          <w:color w:val="000000" w:themeColor="text1"/>
          <w:szCs w:val="20"/>
        </w:rPr>
        <w:t>other</w:t>
      </w:r>
      <w:r w:rsidR="008F6E91">
        <w:rPr>
          <w:rFonts w:cs="Arial"/>
          <w:color w:val="000000" w:themeColor="text1"/>
          <w:szCs w:val="20"/>
        </w:rPr>
        <w:t xml:space="preserve"> organizations to work in </w:t>
      </w:r>
      <w:r w:rsidR="001B392C">
        <w:rPr>
          <w:rFonts w:cs="Arial"/>
          <w:color w:val="000000" w:themeColor="text1"/>
          <w:szCs w:val="20"/>
        </w:rPr>
        <w:t xml:space="preserve">education in </w:t>
      </w:r>
      <w:r w:rsidR="008F6E91">
        <w:rPr>
          <w:rFonts w:cs="Arial"/>
          <w:color w:val="000000" w:themeColor="text1"/>
          <w:szCs w:val="20"/>
        </w:rPr>
        <w:t>Rakhine</w:t>
      </w:r>
      <w:r w:rsidR="00A54685">
        <w:rPr>
          <w:rFonts w:cs="Arial"/>
          <w:color w:val="000000" w:themeColor="text1"/>
          <w:szCs w:val="20"/>
        </w:rPr>
        <w:t xml:space="preserve"> State</w:t>
      </w:r>
      <w:r w:rsidR="008F6E91">
        <w:rPr>
          <w:rFonts w:cs="Arial"/>
          <w:color w:val="000000" w:themeColor="text1"/>
          <w:szCs w:val="20"/>
        </w:rPr>
        <w:t xml:space="preserve">, and </w:t>
      </w:r>
      <w:r w:rsidR="00BD512D">
        <w:rPr>
          <w:rFonts w:cs="Arial"/>
          <w:color w:val="000000" w:themeColor="text1"/>
          <w:szCs w:val="20"/>
        </w:rPr>
        <w:t>help identify the</w:t>
      </w:r>
      <w:r w:rsidR="008F6E91">
        <w:rPr>
          <w:rFonts w:cs="Arial"/>
          <w:color w:val="000000" w:themeColor="text1"/>
          <w:szCs w:val="20"/>
        </w:rPr>
        <w:t xml:space="preserve"> funding opportunities to allow this.  </w:t>
      </w:r>
    </w:p>
    <w:bookmarkEnd w:id="2"/>
    <w:bookmarkEnd w:id="3"/>
    <w:p w:rsidR="00BC19B2" w:rsidRDefault="00BC19B2" w:rsidP="00ED2D42">
      <w:pPr>
        <w:pStyle w:val="PMRtextmaincontenttext"/>
        <w:numPr>
          <w:ilvl w:val="0"/>
          <w:numId w:val="5"/>
        </w:numPr>
        <w:ind w:right="216"/>
        <w:jc w:val="both"/>
        <w:rPr>
          <w:rFonts w:cs="Arial"/>
          <w:color w:val="000000" w:themeColor="text1"/>
          <w:szCs w:val="20"/>
        </w:rPr>
      </w:pPr>
      <w:r>
        <w:rPr>
          <w:rFonts w:cs="Arial"/>
          <w:color w:val="000000" w:themeColor="text1"/>
          <w:szCs w:val="20"/>
        </w:rPr>
        <w:t>OCHA to actively monitor, coordinate and attempt to regulate incentive rates paid between the sectors</w:t>
      </w:r>
      <w:r w:rsidR="00BE215C">
        <w:rPr>
          <w:rFonts w:cs="Arial"/>
          <w:color w:val="000000" w:themeColor="text1"/>
          <w:szCs w:val="20"/>
        </w:rPr>
        <w:t>/clusters</w:t>
      </w:r>
      <w:r>
        <w:rPr>
          <w:rFonts w:cs="Arial"/>
          <w:color w:val="000000" w:themeColor="text1"/>
          <w:szCs w:val="20"/>
        </w:rPr>
        <w:t xml:space="preserve"> – the education sector is limited in this respect by Government education services and cannot (and should not have to) compete with other sectors. </w:t>
      </w:r>
    </w:p>
    <w:p w:rsidR="008F6E91" w:rsidRPr="006822EE" w:rsidRDefault="006822EE" w:rsidP="00BC19B2">
      <w:pPr>
        <w:pStyle w:val="PMRtextmaincontenttext"/>
        <w:ind w:right="216"/>
        <w:jc w:val="both"/>
        <w:rPr>
          <w:rFonts w:cs="Arial"/>
          <w:b/>
          <w:color w:val="000000" w:themeColor="text1"/>
          <w:szCs w:val="20"/>
        </w:rPr>
      </w:pPr>
      <w:r w:rsidRPr="006822EE">
        <w:rPr>
          <w:rFonts w:cs="Arial"/>
          <w:b/>
          <w:color w:val="000000" w:themeColor="text1"/>
          <w:szCs w:val="20"/>
        </w:rPr>
        <w:t>Kachin</w:t>
      </w:r>
      <w:bookmarkStart w:id="4" w:name="OLE_LINK1"/>
      <w:bookmarkStart w:id="5" w:name="OLE_LINK2"/>
      <w:r w:rsidR="007C5338">
        <w:rPr>
          <w:rFonts w:cs="Arial"/>
          <w:b/>
          <w:color w:val="000000" w:themeColor="text1"/>
          <w:szCs w:val="20"/>
        </w:rPr>
        <w:t xml:space="preserve"> </w:t>
      </w:r>
      <w:r w:rsidR="007C5338">
        <w:rPr>
          <w:b/>
        </w:rPr>
        <w:t>&amp; northern Shan</w:t>
      </w:r>
      <w:bookmarkEnd w:id="4"/>
      <w:bookmarkEnd w:id="5"/>
    </w:p>
    <w:p w:rsidR="001B392C" w:rsidRDefault="001B392C" w:rsidP="001B392C">
      <w:pPr>
        <w:pStyle w:val="PMRtextmaincontenttext"/>
        <w:numPr>
          <w:ilvl w:val="0"/>
          <w:numId w:val="6"/>
        </w:numPr>
        <w:ind w:right="216"/>
        <w:jc w:val="both"/>
        <w:rPr>
          <w:rFonts w:cs="Arial"/>
          <w:color w:val="000000" w:themeColor="text1"/>
          <w:szCs w:val="20"/>
        </w:rPr>
      </w:pPr>
      <w:r>
        <w:rPr>
          <w:rFonts w:cs="Arial"/>
          <w:color w:val="000000" w:themeColor="text1"/>
          <w:szCs w:val="20"/>
        </w:rPr>
        <w:t xml:space="preserve">The EiE Sector Coordinator to work with UNICEF, Save the Children, Metta and the relevant education authorities in the area to establish practicable coordination mechanisms linking actors and activities </w:t>
      </w:r>
      <w:proofErr w:type="spellStart"/>
      <w:r>
        <w:rPr>
          <w:rFonts w:cs="Arial"/>
          <w:color w:val="000000" w:themeColor="text1"/>
          <w:szCs w:val="20"/>
        </w:rPr>
        <w:t>centred</w:t>
      </w:r>
      <w:proofErr w:type="spellEnd"/>
      <w:r>
        <w:rPr>
          <w:rFonts w:cs="Arial"/>
          <w:color w:val="000000" w:themeColor="text1"/>
          <w:szCs w:val="20"/>
        </w:rPr>
        <w:t xml:space="preserve"> </w:t>
      </w:r>
      <w:proofErr w:type="gramStart"/>
      <w:r>
        <w:rPr>
          <w:rFonts w:cs="Arial"/>
          <w:color w:val="000000" w:themeColor="text1"/>
          <w:szCs w:val="20"/>
        </w:rPr>
        <w:t>around</w:t>
      </w:r>
      <w:proofErr w:type="gramEnd"/>
      <w:r>
        <w:rPr>
          <w:rFonts w:cs="Arial"/>
          <w:color w:val="000000" w:themeColor="text1"/>
          <w:szCs w:val="20"/>
        </w:rPr>
        <w:t xml:space="preserve"> Myitkyina, </w:t>
      </w:r>
      <w:proofErr w:type="spellStart"/>
      <w:r>
        <w:rPr>
          <w:rFonts w:cs="Arial"/>
          <w:color w:val="000000" w:themeColor="text1"/>
          <w:szCs w:val="20"/>
        </w:rPr>
        <w:t>Laiza</w:t>
      </w:r>
      <w:proofErr w:type="spellEnd"/>
      <w:r>
        <w:rPr>
          <w:rFonts w:cs="Arial"/>
          <w:color w:val="000000" w:themeColor="text1"/>
          <w:szCs w:val="20"/>
        </w:rPr>
        <w:t xml:space="preserve"> and Muse.</w:t>
      </w:r>
      <w:r w:rsidR="00E52844">
        <w:rPr>
          <w:rFonts w:cs="Arial"/>
          <w:color w:val="000000" w:themeColor="text1"/>
          <w:szCs w:val="20"/>
        </w:rPr>
        <w:t xml:space="preserve"> The assessment currently planned involving all education partners in NGCA (KCA) Kachin is an opportunity to work on this.</w:t>
      </w:r>
    </w:p>
    <w:p w:rsidR="00BB5A05" w:rsidRDefault="00BB5A05" w:rsidP="001B392C">
      <w:pPr>
        <w:pStyle w:val="PMRtextmaincontenttext"/>
        <w:numPr>
          <w:ilvl w:val="0"/>
          <w:numId w:val="6"/>
        </w:numPr>
        <w:ind w:right="216"/>
        <w:jc w:val="both"/>
        <w:rPr>
          <w:rFonts w:cs="Arial"/>
          <w:color w:val="000000" w:themeColor="text1"/>
          <w:szCs w:val="20"/>
        </w:rPr>
      </w:pPr>
      <w:r>
        <w:rPr>
          <w:rFonts w:cs="Arial"/>
          <w:color w:val="000000" w:themeColor="text1"/>
          <w:szCs w:val="20"/>
        </w:rPr>
        <w:t>OCHA needs to focus on establishing inclusive and accessible coordination mechanism in Kachin which encourage national/local NGO/CSO participation by respect</w:t>
      </w:r>
      <w:r w:rsidR="00397277">
        <w:rPr>
          <w:rFonts w:cs="Arial"/>
          <w:color w:val="000000" w:themeColor="text1"/>
          <w:szCs w:val="20"/>
        </w:rPr>
        <w:t>ing limitations on time</w:t>
      </w:r>
      <w:r>
        <w:rPr>
          <w:rFonts w:cs="Arial"/>
          <w:color w:val="000000" w:themeColor="text1"/>
          <w:szCs w:val="20"/>
        </w:rPr>
        <w:t xml:space="preserve"> and resources (incl. human) and adapting the mode and medium of the mechanisms to the context. </w:t>
      </w:r>
    </w:p>
    <w:p w:rsidR="008F6E91" w:rsidRPr="0021244A" w:rsidRDefault="0021244A" w:rsidP="007F1E53">
      <w:pPr>
        <w:pStyle w:val="PMRtextmaincontenttext"/>
        <w:numPr>
          <w:ilvl w:val="0"/>
          <w:numId w:val="6"/>
        </w:numPr>
        <w:ind w:right="216"/>
        <w:jc w:val="both"/>
        <w:rPr>
          <w:rFonts w:cs="Arial"/>
          <w:color w:val="000000" w:themeColor="text1"/>
          <w:sz w:val="22"/>
          <w:szCs w:val="22"/>
          <w:u w:val="single"/>
        </w:rPr>
      </w:pPr>
      <w:r w:rsidRPr="0021244A">
        <w:rPr>
          <w:rFonts w:cs="Arial"/>
          <w:color w:val="000000" w:themeColor="text1"/>
          <w:szCs w:val="20"/>
        </w:rPr>
        <w:t xml:space="preserve">The EiE Sector Coordinator to continue to support national organizations working in conflict areas of Kachin and northern Shan to access the new EiE funding available in response to small-scale displacements. </w:t>
      </w:r>
    </w:p>
    <w:p w:rsidR="0021244A" w:rsidRPr="0021244A" w:rsidRDefault="0021244A" w:rsidP="0021244A">
      <w:pPr>
        <w:pStyle w:val="PMRtextmaincontenttext"/>
        <w:ind w:left="720" w:right="216"/>
        <w:jc w:val="both"/>
        <w:rPr>
          <w:rFonts w:cs="Arial"/>
          <w:color w:val="000000" w:themeColor="text1"/>
          <w:sz w:val="22"/>
          <w:szCs w:val="22"/>
          <w:u w:val="single"/>
        </w:rPr>
      </w:pPr>
    </w:p>
    <w:p w:rsidR="009128BB" w:rsidRPr="007F1E53" w:rsidRDefault="007F1E53" w:rsidP="007F1E53">
      <w:pPr>
        <w:pStyle w:val="PMRtextmaincontenttext"/>
        <w:ind w:right="216"/>
        <w:jc w:val="both"/>
        <w:rPr>
          <w:b/>
          <w:color w:val="000000" w:themeColor="text1"/>
          <w:sz w:val="24"/>
          <w:szCs w:val="20"/>
          <w:u w:val="single"/>
        </w:rPr>
      </w:pPr>
      <w:r w:rsidRPr="007F1E53">
        <w:rPr>
          <w:b/>
          <w:color w:val="000000" w:themeColor="text1"/>
          <w:sz w:val="24"/>
          <w:szCs w:val="20"/>
          <w:u w:val="single"/>
        </w:rPr>
        <w:t>Changes in c</w:t>
      </w:r>
      <w:r w:rsidR="009128BB" w:rsidRPr="007F1E53">
        <w:rPr>
          <w:b/>
          <w:color w:val="000000" w:themeColor="text1"/>
          <w:sz w:val="24"/>
          <w:szCs w:val="20"/>
          <w:u w:val="single"/>
        </w:rPr>
        <w:t>ontext</w:t>
      </w:r>
    </w:p>
    <w:p w:rsidR="009128BB" w:rsidRPr="007F1E53" w:rsidRDefault="009128BB" w:rsidP="007F1E53">
      <w:pPr>
        <w:pStyle w:val="PMRsub-heading"/>
        <w:spacing w:before="0"/>
        <w:rPr>
          <w:b/>
          <w:sz w:val="22"/>
        </w:rPr>
      </w:pPr>
      <w:r w:rsidRPr="007F1E53">
        <w:rPr>
          <w:b/>
          <w:sz w:val="22"/>
        </w:rPr>
        <w:t>Humanitarian context</w:t>
      </w:r>
    </w:p>
    <w:p w:rsidR="004B74FB" w:rsidRPr="004B74FB" w:rsidRDefault="004B74FB" w:rsidP="001B392C">
      <w:pPr>
        <w:pStyle w:val="PMRtextmaincontenttext"/>
        <w:ind w:right="216"/>
        <w:jc w:val="both"/>
        <w:rPr>
          <w:b/>
        </w:rPr>
      </w:pPr>
      <w:r w:rsidRPr="004B74FB">
        <w:rPr>
          <w:b/>
        </w:rPr>
        <w:lastRenderedPageBreak/>
        <w:t>Rakhine</w:t>
      </w:r>
    </w:p>
    <w:p w:rsidR="001B392C" w:rsidRDefault="00BE215C" w:rsidP="001B392C">
      <w:pPr>
        <w:pStyle w:val="PMRtextmaincontenttext"/>
        <w:ind w:right="216"/>
        <w:jc w:val="both"/>
      </w:pPr>
      <w:r>
        <w:t>T</w:t>
      </w:r>
      <w:r w:rsidR="00C47F5D">
        <w:t xml:space="preserve">he violence in Rakhine </w:t>
      </w:r>
      <w:r w:rsidR="00A54685">
        <w:t xml:space="preserve">State </w:t>
      </w:r>
      <w:r w:rsidR="00C47F5D">
        <w:t>at the end of March</w:t>
      </w:r>
      <w:r w:rsidR="005334D4">
        <w:t xml:space="preserve"> 2014</w:t>
      </w:r>
      <w:r w:rsidR="00C47F5D">
        <w:t xml:space="preserve"> </w:t>
      </w:r>
      <w:r>
        <w:t xml:space="preserve">resulted in significant delays in implementation for some education partners due to </w:t>
      </w:r>
      <w:r w:rsidR="007C5338">
        <w:t xml:space="preserve">losses and damage of supplies and property and then </w:t>
      </w:r>
      <w:r w:rsidR="005334D4">
        <w:t xml:space="preserve">reduced </w:t>
      </w:r>
      <w:r>
        <w:t xml:space="preserve">staff </w:t>
      </w:r>
      <w:r w:rsidR="005334D4">
        <w:t xml:space="preserve">presence in Sittwe and </w:t>
      </w:r>
      <w:r>
        <w:t>lack of housing and office spaces</w:t>
      </w:r>
      <w:r w:rsidR="00DB30A1">
        <w:t>.</w:t>
      </w:r>
      <w:r w:rsidR="0021244A">
        <w:t xml:space="preserve"> </w:t>
      </w:r>
      <w:r w:rsidR="00C47F5D">
        <w:t xml:space="preserve">Although most existing education activities were able to continue during this time due to their reliance on on-site local staff (incl. IDPs) this led to delays to the planned expansion of education </w:t>
      </w:r>
      <w:proofErr w:type="spellStart"/>
      <w:r w:rsidR="00C47F5D">
        <w:t>programmes</w:t>
      </w:r>
      <w:proofErr w:type="spellEnd"/>
      <w:r w:rsidR="00C47F5D">
        <w:t xml:space="preserve"> and in starting new ones (e.g. for adolescents).</w:t>
      </w:r>
    </w:p>
    <w:p w:rsidR="0021244A" w:rsidRDefault="0021244A" w:rsidP="0021244A">
      <w:pPr>
        <w:rPr>
          <w:b/>
          <w:lang w:eastAsia="zh-TW"/>
        </w:rPr>
      </w:pPr>
    </w:p>
    <w:p w:rsidR="0021244A" w:rsidRDefault="0021244A" w:rsidP="0021244A">
      <w:pPr>
        <w:rPr>
          <w:b/>
          <w:lang w:eastAsia="zh-TW"/>
        </w:rPr>
      </w:pPr>
      <w:r w:rsidRPr="0021244A">
        <w:rPr>
          <w:b/>
          <w:lang w:eastAsia="zh-TW"/>
        </w:rPr>
        <w:t>Kachin and northern Shan</w:t>
      </w:r>
    </w:p>
    <w:p w:rsidR="0021244A" w:rsidRPr="0021244A" w:rsidRDefault="0021244A" w:rsidP="0021244A">
      <w:pPr>
        <w:rPr>
          <w:b/>
          <w:lang w:eastAsia="zh-TW"/>
        </w:rPr>
      </w:pPr>
      <w:r>
        <w:t>Continued outbreaks of fighting and resultant displacement in Kachin and northern Shan also results in disruptions to education for children caught up in this, and pressures on education facilities to accommodate these new influxes. The most recent of these (April 2014) put pressure on education system in areas of northern Shan and caused delays for other students at the start of the new school year. Generally the pace of the peace process continues to limit the funding, access and resources needed to more comprehensively support education in Kachin (particularly NGCA/KCA).</w:t>
      </w:r>
    </w:p>
    <w:p w:rsidR="0021244A" w:rsidRDefault="0021244A" w:rsidP="0021244A">
      <w:pPr>
        <w:rPr>
          <w:lang w:eastAsia="zh-TW"/>
        </w:rPr>
      </w:pPr>
    </w:p>
    <w:p w:rsidR="0021244A" w:rsidRPr="0021244A" w:rsidRDefault="0021244A" w:rsidP="0021244A">
      <w:pPr>
        <w:rPr>
          <w:lang w:eastAsia="zh-TW"/>
        </w:rPr>
      </w:pPr>
    </w:p>
    <w:p w:rsidR="007C1B65" w:rsidRPr="007F1E53" w:rsidRDefault="009128BB" w:rsidP="007F1E53">
      <w:pPr>
        <w:pStyle w:val="PMRsub-heading"/>
        <w:spacing w:before="0"/>
        <w:rPr>
          <w:b/>
          <w:sz w:val="22"/>
        </w:rPr>
      </w:pPr>
      <w:r w:rsidRPr="007F1E53">
        <w:rPr>
          <w:b/>
          <w:sz w:val="22"/>
        </w:rPr>
        <w:t>Response capacity</w:t>
      </w:r>
    </w:p>
    <w:p w:rsidR="004B74FB" w:rsidRPr="004B74FB" w:rsidRDefault="004B74FB" w:rsidP="001B392C">
      <w:pPr>
        <w:pStyle w:val="PMRtextmaincontenttext"/>
        <w:ind w:right="216"/>
        <w:jc w:val="both"/>
        <w:rPr>
          <w:b/>
        </w:rPr>
      </w:pPr>
      <w:bookmarkStart w:id="6" w:name="OLE_LINK7"/>
      <w:bookmarkStart w:id="7" w:name="OLE_LINK8"/>
      <w:r w:rsidRPr="004B74FB">
        <w:rPr>
          <w:b/>
        </w:rPr>
        <w:t>Rakhine</w:t>
      </w:r>
    </w:p>
    <w:p w:rsidR="001B392C" w:rsidRDefault="001B392C" w:rsidP="001B392C">
      <w:pPr>
        <w:pStyle w:val="PMRtextmaincontenttext"/>
        <w:ind w:right="216"/>
        <w:jc w:val="both"/>
      </w:pPr>
      <w:r>
        <w:t xml:space="preserve">Although </w:t>
      </w:r>
      <w:r w:rsidR="0021244A">
        <w:t xml:space="preserve">a </w:t>
      </w:r>
      <w:r>
        <w:t xml:space="preserve">new </w:t>
      </w:r>
      <w:bookmarkEnd w:id="6"/>
      <w:bookmarkEnd w:id="7"/>
      <w:r w:rsidR="0021244A">
        <w:t>partner</w:t>
      </w:r>
      <w:r>
        <w:t xml:space="preserve"> </w:t>
      </w:r>
      <w:r w:rsidR="0021244A">
        <w:t>is poised</w:t>
      </w:r>
      <w:r>
        <w:t xml:space="preserve"> to start work in Rakhine, </w:t>
      </w:r>
      <w:r w:rsidR="0021244A">
        <w:t>overall sector</w:t>
      </w:r>
      <w:r>
        <w:t xml:space="preserve"> capacity to implement education </w:t>
      </w:r>
      <w:proofErr w:type="spellStart"/>
      <w:r>
        <w:t>programmes</w:t>
      </w:r>
      <w:proofErr w:type="spellEnd"/>
      <w:r>
        <w:t xml:space="preserve"> remains limited and more partners are needed to expand education coverage in line with sector aims and targets</w:t>
      </w:r>
      <w:r w:rsidR="0021244A">
        <w:t>.</w:t>
      </w:r>
      <w:r>
        <w:t xml:space="preserve"> The contribution of non-education actors to education infrastructure in affected areas of Rakhine is increasing, and </w:t>
      </w:r>
      <w:r w:rsidR="0021244A">
        <w:t>although this is</w:t>
      </w:r>
      <w:r>
        <w:t xml:space="preserve"> welcome, needs to be coordinated with efforts already underway.</w:t>
      </w:r>
    </w:p>
    <w:p w:rsidR="004B74FB" w:rsidRPr="004B74FB" w:rsidRDefault="004B74FB" w:rsidP="004B74FB">
      <w:pPr>
        <w:pStyle w:val="PMRtextmaincontenttext"/>
        <w:ind w:right="216"/>
        <w:jc w:val="both"/>
        <w:rPr>
          <w:b/>
        </w:rPr>
      </w:pPr>
      <w:r>
        <w:rPr>
          <w:b/>
        </w:rPr>
        <w:t>Kachin</w:t>
      </w:r>
      <w:bookmarkStart w:id="8" w:name="_GoBack"/>
      <w:bookmarkEnd w:id="8"/>
      <w:r w:rsidR="007C5338">
        <w:rPr>
          <w:b/>
        </w:rPr>
        <w:t xml:space="preserve"> &amp; northern Shan</w:t>
      </w:r>
    </w:p>
    <w:p w:rsidR="004B74FB" w:rsidRDefault="004B74FB" w:rsidP="00E45A1D">
      <w:pPr>
        <w:pStyle w:val="PMRtextmaincontenttext"/>
        <w:ind w:right="216"/>
        <w:jc w:val="both"/>
      </w:pPr>
      <w:r>
        <w:t xml:space="preserve">Particularly </w:t>
      </w:r>
      <w:r w:rsidR="00E45A1D">
        <w:t>in NGCA (</w:t>
      </w:r>
      <w:r>
        <w:t>KCA</w:t>
      </w:r>
      <w:r w:rsidR="00E45A1D">
        <w:t>)</w:t>
      </w:r>
      <w:r>
        <w:t xml:space="preserve"> Kachin, limitations in the capacity of the primary </w:t>
      </w:r>
      <w:r w:rsidR="00E45A1D">
        <w:t xml:space="preserve">education provider </w:t>
      </w:r>
      <w:r>
        <w:t xml:space="preserve">and </w:t>
      </w:r>
      <w:r w:rsidR="00E45A1D">
        <w:t xml:space="preserve">in the </w:t>
      </w:r>
      <w:r>
        <w:t>resources</w:t>
      </w:r>
      <w:r w:rsidR="00E45A1D">
        <w:t xml:space="preserve"> available to support them, means that improving the provision in terms of coverage and quality </w:t>
      </w:r>
      <w:r w:rsidR="0021244A">
        <w:t>remains</w:t>
      </w:r>
      <w:r w:rsidR="00B41AD7">
        <w:t xml:space="preserve"> slow and incomprehensive.</w:t>
      </w:r>
    </w:p>
    <w:p w:rsidR="004B74FB" w:rsidRDefault="004B74FB" w:rsidP="007F1E53">
      <w:pPr>
        <w:pStyle w:val="PMRtextmaincontenttext"/>
        <w:ind w:right="216"/>
        <w:jc w:val="both"/>
        <w:rPr>
          <w:b/>
          <w:color w:val="000000" w:themeColor="text1"/>
          <w:sz w:val="24"/>
          <w:szCs w:val="20"/>
          <w:u w:val="single"/>
        </w:rPr>
      </w:pPr>
    </w:p>
    <w:p w:rsidR="009128BB" w:rsidRPr="007F1E53" w:rsidRDefault="009128BB" w:rsidP="007F1E53">
      <w:pPr>
        <w:pStyle w:val="PMRtextmaincontenttext"/>
        <w:ind w:right="216"/>
        <w:jc w:val="both"/>
        <w:rPr>
          <w:b/>
          <w:color w:val="000000" w:themeColor="text1"/>
          <w:sz w:val="24"/>
          <w:szCs w:val="20"/>
          <w:u w:val="single"/>
        </w:rPr>
      </w:pPr>
      <w:r w:rsidRPr="007F1E53">
        <w:rPr>
          <w:b/>
          <w:color w:val="000000" w:themeColor="text1"/>
          <w:sz w:val="24"/>
          <w:szCs w:val="20"/>
          <w:u w:val="single"/>
        </w:rPr>
        <w:t>Strategic Objectives</w:t>
      </w:r>
      <w:r w:rsidR="00CC2945">
        <w:rPr>
          <w:b/>
          <w:color w:val="000000" w:themeColor="text1"/>
          <w:sz w:val="24"/>
          <w:szCs w:val="20"/>
          <w:u w:val="single"/>
        </w:rPr>
        <w:t xml:space="preserve"> 1</w:t>
      </w:r>
      <w:r w:rsidRPr="007F1E53">
        <w:rPr>
          <w:b/>
          <w:color w:val="000000" w:themeColor="text1"/>
          <w:sz w:val="24"/>
          <w:szCs w:val="20"/>
          <w:u w:val="single"/>
        </w:rPr>
        <w:t>: Achievements to date</w:t>
      </w:r>
    </w:p>
    <w:tbl>
      <w:tblPr>
        <w:tblStyle w:val="HNOtipstable"/>
        <w:tblW w:w="10086" w:type="dxa"/>
        <w:tblLook w:val="04A0"/>
      </w:tblPr>
      <w:tblGrid>
        <w:gridCol w:w="10086"/>
      </w:tblGrid>
      <w:tr w:rsidR="000753E7" w:rsidRPr="006E08CF" w:rsidTr="000753E7">
        <w:trPr>
          <w:cnfStyle w:val="100000000000"/>
          <w:trHeight w:val="535"/>
        </w:trPr>
        <w:tc>
          <w:tcPr>
            <w:tcW w:w="10086" w:type="dxa"/>
          </w:tcPr>
          <w:p w:rsidR="000753E7" w:rsidRPr="000753E7" w:rsidRDefault="000753E7" w:rsidP="000753E7">
            <w:pPr>
              <w:pStyle w:val="SRPwhitetitleinorangebox"/>
              <w:ind w:left="0" w:right="173"/>
              <w:jc w:val="both"/>
              <w:rPr>
                <w:caps w:val="0"/>
              </w:rPr>
            </w:pPr>
            <w:r w:rsidRPr="000753E7">
              <w:rPr>
                <w:sz w:val="20"/>
              </w:rPr>
              <w:t>Strategic objective 1: Reduce mortality and morbidity amongst affected populations in Rakhine and Kachin as well as populations newly affected by conflict or disaster</w:t>
            </w:r>
          </w:p>
        </w:tc>
      </w:tr>
    </w:tbl>
    <w:p w:rsidR="009128BB" w:rsidRPr="00CC2945" w:rsidRDefault="009128BB" w:rsidP="00CC2945">
      <w:pPr>
        <w:pStyle w:val="PMRsub-heading"/>
        <w:spacing w:before="0"/>
        <w:rPr>
          <w:b/>
          <w:sz w:val="22"/>
        </w:rPr>
      </w:pPr>
      <w:bookmarkStart w:id="9" w:name="_Toc373843899"/>
      <w:bookmarkStart w:id="10" w:name="_Toc373844189"/>
      <w:bookmarkStart w:id="11" w:name="_Toc373844204"/>
      <w:bookmarkStart w:id="12" w:name="_Toc373846562"/>
      <w:r w:rsidRPr="00CC2945">
        <w:rPr>
          <w:b/>
          <w:sz w:val="22"/>
        </w:rPr>
        <w:t>Progress toward Strategic Objective</w:t>
      </w:r>
      <w:bookmarkEnd w:id="9"/>
      <w:bookmarkEnd w:id="10"/>
      <w:bookmarkEnd w:id="11"/>
      <w:bookmarkEnd w:id="12"/>
    </w:p>
    <w:p w:rsidR="00171D74" w:rsidRPr="00F63C23" w:rsidRDefault="00171D74" w:rsidP="002D4CA1">
      <w:pPr>
        <w:pStyle w:val="PMRtextmaincontenttext"/>
        <w:ind w:right="216"/>
        <w:jc w:val="both"/>
        <w:rPr>
          <w:i/>
        </w:rPr>
      </w:pPr>
      <w:r w:rsidRPr="00F63C23">
        <w:rPr>
          <w:b/>
          <w:i/>
        </w:rPr>
        <w:t>Kachin:</w:t>
      </w:r>
      <w:r w:rsidRPr="00F63C23">
        <w:rPr>
          <w:i/>
        </w:rPr>
        <w:t xml:space="preserve"> Contribute to reducing the risks of mortality amongst children due to landmines through integrating politically non-sensitive and age-appropriate mine risk education (MRE) into all education delivered to children and adolescents living in</w:t>
      </w:r>
      <w:r w:rsidR="00F63C23">
        <w:rPr>
          <w:i/>
        </w:rPr>
        <w:t xml:space="preserve"> affected areas of Kachin State </w:t>
      </w:r>
      <w:r w:rsidR="00F63C23" w:rsidRPr="00F63C23">
        <w:rPr>
          <w:i/>
        </w:rPr>
        <w:t xml:space="preserve">(in close collaboration with the </w:t>
      </w:r>
      <w:r w:rsidR="00F63C23">
        <w:rPr>
          <w:i/>
        </w:rPr>
        <w:t>Child Protection sub-</w:t>
      </w:r>
      <w:r w:rsidR="00F63C23" w:rsidRPr="00F63C23">
        <w:rPr>
          <w:i/>
        </w:rPr>
        <w:t>sector)</w:t>
      </w:r>
      <w:r w:rsidR="00640EA0">
        <w:rPr>
          <w:i/>
        </w:rPr>
        <w:t xml:space="preserve"> (Target 5000)</w:t>
      </w:r>
    </w:p>
    <w:p w:rsidR="00F578B0" w:rsidRDefault="00F63C23" w:rsidP="007C5338">
      <w:pPr>
        <w:pStyle w:val="PMRtextmaincontenttext"/>
        <w:ind w:left="720" w:right="216"/>
        <w:jc w:val="both"/>
      </w:pPr>
      <w:r>
        <w:t>Although the mine risk education (MRE) initiative is being led by the Child Protection sub-sector,</w:t>
      </w:r>
      <w:r w:rsidR="00640EA0">
        <w:t xml:space="preserve"> formal and non-formal education is an ideal medium </w:t>
      </w:r>
      <w:r w:rsidR="0013386D">
        <w:t>to</w:t>
      </w:r>
      <w:r w:rsidR="00640EA0">
        <w:t xml:space="preserve"> bring these protection messages to children and adolescents. </w:t>
      </w:r>
      <w:r w:rsidR="00896FC1">
        <w:t xml:space="preserve">Although implementation has not commenced, </w:t>
      </w:r>
      <w:r w:rsidR="0021244A">
        <w:t xml:space="preserve">planning and consultation around the </w:t>
      </w:r>
      <w:r w:rsidR="0057387C">
        <w:t>current</w:t>
      </w:r>
      <w:r w:rsidR="00896FC1">
        <w:t xml:space="preserve"> inclusive</w:t>
      </w:r>
      <w:r w:rsidR="0057387C">
        <w:t xml:space="preserve"> initiative is </w:t>
      </w:r>
      <w:r w:rsidR="0021244A">
        <w:t>progressing</w:t>
      </w:r>
      <w:r w:rsidR="0057387C">
        <w:t xml:space="preserve">, </w:t>
      </w:r>
      <w:r w:rsidR="00640EA0">
        <w:t>supported by the EiE sector</w:t>
      </w:r>
      <w:r w:rsidR="0021244A">
        <w:t>, and when</w:t>
      </w:r>
      <w:r w:rsidR="00640EA0">
        <w:t xml:space="preserve"> </w:t>
      </w:r>
      <w:r w:rsidR="0057387C">
        <w:t>implementation begins t</w:t>
      </w:r>
      <w:r w:rsidR="00640EA0">
        <w:t xml:space="preserve">he sector stands by to assume its delivery role in this. </w:t>
      </w:r>
      <w:r w:rsidR="0057387C">
        <w:t>This could</w:t>
      </w:r>
      <w:r w:rsidR="00640EA0">
        <w:t xml:space="preserve"> potentially start with the boarding schools in NGCA (KCA) Kachin before the end of the 2014.</w:t>
      </w:r>
    </w:p>
    <w:p w:rsidR="00896FC1" w:rsidRPr="00F578B0" w:rsidRDefault="00896FC1" w:rsidP="007C5338">
      <w:pPr>
        <w:pStyle w:val="PMRtextmaincontenttext"/>
        <w:ind w:left="720" w:right="216"/>
        <w:jc w:val="both"/>
        <w:rPr>
          <w:i/>
        </w:rPr>
      </w:pPr>
    </w:p>
    <w:p w:rsidR="009128BB" w:rsidRPr="00CC2945" w:rsidRDefault="009128BB" w:rsidP="00CC2945">
      <w:pPr>
        <w:pStyle w:val="PMRsub-heading"/>
        <w:spacing w:before="0"/>
        <w:rPr>
          <w:b/>
          <w:sz w:val="22"/>
        </w:rPr>
      </w:pPr>
      <w:r w:rsidRPr="00CC2945">
        <w:rPr>
          <w:b/>
          <w:sz w:val="22"/>
        </w:rPr>
        <w:t>Indicators: Targets vs. Results to date</w:t>
      </w:r>
    </w:p>
    <w:tbl>
      <w:tblPr>
        <w:tblStyle w:val="TableGrid"/>
        <w:tblpPr w:leftFromText="180" w:rightFromText="180" w:vertAnchor="text" w:horzAnchor="page" w:tblpX="960" w:tblpY="325"/>
        <w:tblW w:w="105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tblPr>
      <w:tblGrid>
        <w:gridCol w:w="6071"/>
        <w:gridCol w:w="1073"/>
        <w:gridCol w:w="828"/>
        <w:gridCol w:w="875"/>
        <w:gridCol w:w="1721"/>
      </w:tblGrid>
      <w:tr w:rsidR="000753E7" w:rsidRPr="00B91087" w:rsidTr="000753E7">
        <w:trPr>
          <w:trHeight w:val="366"/>
        </w:trPr>
        <w:tc>
          <w:tcPr>
            <w:tcW w:w="6071" w:type="dxa"/>
            <w:tcBorders>
              <w:top w:val="nil"/>
              <w:left w:val="single" w:sz="4" w:space="0" w:color="D9D9D9" w:themeColor="background1" w:themeShade="D9"/>
              <w:bottom w:val="nil"/>
            </w:tcBorders>
            <w:shd w:val="clear" w:color="auto" w:fill="D9D9D9" w:themeFill="background1" w:themeFillShade="D9"/>
            <w:vAlign w:val="center"/>
          </w:tcPr>
          <w:p w:rsidR="000753E7" w:rsidRPr="00E72168" w:rsidRDefault="000753E7" w:rsidP="000753E7">
            <w:pPr>
              <w:jc w:val="center"/>
              <w:rPr>
                <w:b/>
                <w:bCs/>
                <w:color w:val="026CB6"/>
                <w:lang w:val="en-GB"/>
              </w:rPr>
            </w:pPr>
            <w:r w:rsidRPr="00E72168">
              <w:rPr>
                <w:b/>
                <w:bCs/>
                <w:color w:val="026CB6"/>
                <w:lang w:val="en-GB"/>
              </w:rPr>
              <w:t>Indicator</w:t>
            </w:r>
          </w:p>
        </w:tc>
        <w:tc>
          <w:tcPr>
            <w:tcW w:w="1073" w:type="dxa"/>
            <w:tcBorders>
              <w:top w:val="nil"/>
              <w:bottom w:val="nil"/>
            </w:tcBorders>
            <w:shd w:val="clear" w:color="auto" w:fill="D9D9D9" w:themeFill="background1" w:themeFillShade="D9"/>
            <w:vAlign w:val="center"/>
          </w:tcPr>
          <w:p w:rsidR="000753E7" w:rsidRPr="00E72168" w:rsidRDefault="000753E7" w:rsidP="000753E7">
            <w:pPr>
              <w:jc w:val="center"/>
              <w:rPr>
                <w:b/>
                <w:bCs/>
                <w:color w:val="026CB6"/>
                <w:lang w:val="en-GB"/>
              </w:rPr>
            </w:pPr>
            <w:r>
              <w:rPr>
                <w:b/>
                <w:bCs/>
                <w:color w:val="026CB6"/>
                <w:lang w:val="en-GB"/>
              </w:rPr>
              <w:t>Baseline</w:t>
            </w:r>
          </w:p>
        </w:tc>
        <w:tc>
          <w:tcPr>
            <w:tcW w:w="828" w:type="dxa"/>
            <w:tcBorders>
              <w:top w:val="nil"/>
              <w:bottom w:val="nil"/>
            </w:tcBorders>
            <w:shd w:val="clear" w:color="auto" w:fill="D9D9D9" w:themeFill="background1" w:themeFillShade="D9"/>
            <w:vAlign w:val="center"/>
          </w:tcPr>
          <w:p w:rsidR="000753E7" w:rsidRPr="000753E7" w:rsidRDefault="000753E7" w:rsidP="000753E7">
            <w:pPr>
              <w:jc w:val="center"/>
              <w:rPr>
                <w:b/>
                <w:bCs/>
                <w:color w:val="026CB6"/>
                <w:lang w:val="en-GB"/>
              </w:rPr>
            </w:pPr>
            <w:r w:rsidRPr="00E72168">
              <w:rPr>
                <w:b/>
                <w:bCs/>
                <w:color w:val="026CB6"/>
                <w:lang w:val="en-GB"/>
              </w:rPr>
              <w:t>Target</w:t>
            </w:r>
          </w:p>
        </w:tc>
        <w:tc>
          <w:tcPr>
            <w:tcW w:w="875" w:type="dxa"/>
            <w:tcBorders>
              <w:top w:val="nil"/>
              <w:bottom w:val="nil"/>
            </w:tcBorders>
            <w:shd w:val="clear" w:color="auto" w:fill="D9D9D9" w:themeFill="background1" w:themeFillShade="D9"/>
            <w:vAlign w:val="center"/>
          </w:tcPr>
          <w:p w:rsidR="000753E7" w:rsidRPr="000753E7" w:rsidRDefault="000753E7" w:rsidP="000753E7">
            <w:pPr>
              <w:jc w:val="center"/>
              <w:rPr>
                <w:b/>
                <w:bCs/>
                <w:color w:val="026CB6"/>
                <w:lang w:val="en-GB"/>
              </w:rPr>
            </w:pPr>
            <w:r w:rsidRPr="00E72168">
              <w:rPr>
                <w:b/>
                <w:bCs/>
                <w:color w:val="026CB6"/>
                <w:lang w:val="en-GB"/>
              </w:rPr>
              <w:t xml:space="preserve">Result </w:t>
            </w:r>
          </w:p>
        </w:tc>
        <w:tc>
          <w:tcPr>
            <w:tcW w:w="1721" w:type="dxa"/>
            <w:tcBorders>
              <w:top w:val="nil"/>
              <w:bottom w:val="nil"/>
            </w:tcBorders>
            <w:shd w:val="clear" w:color="auto" w:fill="D9D9D9" w:themeFill="background1" w:themeFillShade="D9"/>
            <w:vAlign w:val="center"/>
          </w:tcPr>
          <w:p w:rsidR="000753E7" w:rsidRPr="00E72168" w:rsidRDefault="000753E7" w:rsidP="000753E7">
            <w:pPr>
              <w:rPr>
                <w:b/>
                <w:bCs/>
                <w:color w:val="026CB6"/>
                <w:lang w:val="en-GB"/>
              </w:rPr>
            </w:pPr>
            <w:r>
              <w:rPr>
                <w:b/>
                <w:bCs/>
                <w:color w:val="026CB6"/>
                <w:lang w:val="en-GB"/>
              </w:rPr>
              <w:t>Cluster/sector</w:t>
            </w:r>
          </w:p>
        </w:tc>
      </w:tr>
      <w:tr w:rsidR="00097264" w:rsidRPr="00B91087" w:rsidTr="000753E7">
        <w:trPr>
          <w:trHeight w:val="518"/>
        </w:trPr>
        <w:tc>
          <w:tcPr>
            <w:tcW w:w="60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97264" w:rsidRPr="00DF31F7" w:rsidRDefault="00097264" w:rsidP="002F7CFD">
            <w:pPr>
              <w:rPr>
                <w:rFonts w:eastAsia="PMingLiU" w:cs="Arial"/>
                <w:szCs w:val="20"/>
                <w:lang w:eastAsia="zh-TW"/>
              </w:rPr>
            </w:pPr>
            <w:r w:rsidRPr="00DF31F7">
              <w:rPr>
                <w:rFonts w:eastAsia="PMingLiU" w:cs="Arial"/>
                <w:szCs w:val="20"/>
                <w:lang w:eastAsia="zh-TW"/>
              </w:rPr>
              <w:t>% children and adolescents receiving MRE who demonstrate understanding and knowledge of landmine risks in affected areas in Kachin</w:t>
            </w:r>
          </w:p>
        </w:tc>
        <w:tc>
          <w:tcPr>
            <w:tcW w:w="1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97264" w:rsidRPr="00E72168" w:rsidRDefault="00640EA0"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97264" w:rsidRPr="00E72168" w:rsidRDefault="00640EA0" w:rsidP="002F7CFD">
            <w:pPr>
              <w:spacing w:line="276" w:lineRule="auto"/>
              <w:jc w:val="right"/>
              <w:rPr>
                <w:b/>
                <w:bCs/>
                <w:color w:val="808080" w:themeColor="background1" w:themeShade="80"/>
                <w:lang w:val="en-GB"/>
              </w:rPr>
            </w:pPr>
            <w:r>
              <w:rPr>
                <w:b/>
                <w:bCs/>
                <w:color w:val="808080" w:themeColor="background1" w:themeShade="80"/>
                <w:lang w:val="en-GB"/>
              </w:rPr>
              <w:t>5000</w:t>
            </w:r>
          </w:p>
        </w:tc>
        <w:tc>
          <w:tcPr>
            <w:tcW w:w="8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97264" w:rsidRPr="00E72168" w:rsidRDefault="00640EA0"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1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97264" w:rsidRPr="00CD1C10" w:rsidRDefault="00640EA0" w:rsidP="00097264">
            <w:pPr>
              <w:pStyle w:val="SRPtextmaincontenttext"/>
              <w:spacing w:after="0"/>
              <w:ind w:left="108" w:right="108"/>
              <w:jc w:val="center"/>
              <w:rPr>
                <w:rFonts w:cs="Arial"/>
                <w:szCs w:val="20"/>
                <w:lang w:val="en-US"/>
              </w:rPr>
            </w:pPr>
            <w:r>
              <w:rPr>
                <w:rFonts w:cs="Arial"/>
                <w:szCs w:val="20"/>
                <w:lang w:val="en-US"/>
              </w:rPr>
              <w:t>Education/</w:t>
            </w:r>
            <w:r w:rsidR="00097264" w:rsidRPr="00CD1C10">
              <w:rPr>
                <w:rFonts w:cs="Arial"/>
                <w:szCs w:val="20"/>
                <w:lang w:val="en-US"/>
              </w:rPr>
              <w:t>CP Sector</w:t>
            </w:r>
          </w:p>
        </w:tc>
      </w:tr>
    </w:tbl>
    <w:p w:rsidR="00CC2945" w:rsidRDefault="00CC2945" w:rsidP="00CC2945">
      <w:pPr>
        <w:pStyle w:val="PMRtextmaincontenttext"/>
        <w:ind w:right="216"/>
        <w:jc w:val="both"/>
        <w:rPr>
          <w:b/>
          <w:color w:val="000000" w:themeColor="text1"/>
          <w:sz w:val="24"/>
          <w:szCs w:val="20"/>
          <w:u w:val="single"/>
        </w:rPr>
      </w:pPr>
    </w:p>
    <w:p w:rsidR="007C5338" w:rsidRDefault="007C5338" w:rsidP="00CC2945">
      <w:pPr>
        <w:pStyle w:val="PMRtextmaincontenttext"/>
        <w:ind w:right="216"/>
        <w:jc w:val="both"/>
        <w:rPr>
          <w:b/>
          <w:color w:val="000000" w:themeColor="text1"/>
          <w:sz w:val="24"/>
          <w:szCs w:val="20"/>
          <w:u w:val="single"/>
        </w:rPr>
      </w:pPr>
    </w:p>
    <w:p w:rsidR="00CC2945" w:rsidRPr="007F1E53" w:rsidRDefault="00CC2945" w:rsidP="00CC2945">
      <w:pPr>
        <w:pStyle w:val="PMRtextmaincontenttext"/>
        <w:ind w:right="216"/>
        <w:jc w:val="both"/>
        <w:rPr>
          <w:b/>
          <w:color w:val="000000" w:themeColor="text1"/>
          <w:sz w:val="24"/>
          <w:szCs w:val="20"/>
          <w:u w:val="single"/>
        </w:rPr>
      </w:pPr>
      <w:r w:rsidRPr="007F1E53">
        <w:rPr>
          <w:b/>
          <w:color w:val="000000" w:themeColor="text1"/>
          <w:sz w:val="24"/>
          <w:szCs w:val="20"/>
          <w:u w:val="single"/>
        </w:rPr>
        <w:t>Strategic Objectives</w:t>
      </w:r>
      <w:r>
        <w:rPr>
          <w:b/>
          <w:color w:val="000000" w:themeColor="text1"/>
          <w:sz w:val="24"/>
          <w:szCs w:val="20"/>
          <w:u w:val="single"/>
        </w:rPr>
        <w:t xml:space="preserve"> 2</w:t>
      </w:r>
      <w:r w:rsidRPr="007F1E53">
        <w:rPr>
          <w:b/>
          <w:color w:val="000000" w:themeColor="text1"/>
          <w:sz w:val="24"/>
          <w:szCs w:val="20"/>
          <w:u w:val="single"/>
        </w:rPr>
        <w:t>: Achievements to date</w:t>
      </w:r>
    </w:p>
    <w:tbl>
      <w:tblPr>
        <w:tblW w:w="10206" w:type="dxa"/>
        <w:tblCellMar>
          <w:top w:w="170" w:type="dxa"/>
          <w:left w:w="0" w:type="dxa"/>
          <w:bottom w:w="170" w:type="dxa"/>
          <w:right w:w="0" w:type="dxa"/>
        </w:tblCellMar>
        <w:tblLook w:val="04A0"/>
      </w:tblPr>
      <w:tblGrid>
        <w:gridCol w:w="10206"/>
      </w:tblGrid>
      <w:tr w:rsidR="00CC2945" w:rsidRPr="00114A43" w:rsidTr="00CC2945">
        <w:trPr>
          <w:trHeight w:val="199"/>
        </w:trPr>
        <w:tc>
          <w:tcPr>
            <w:tcW w:w="10206" w:type="dxa"/>
            <w:shd w:val="clear" w:color="auto" w:fill="F47932"/>
          </w:tcPr>
          <w:p w:rsidR="00CC2945" w:rsidRPr="00CC2945" w:rsidRDefault="00CC2945" w:rsidP="00CC2945">
            <w:pPr>
              <w:pStyle w:val="SRPwhitetitleinorangebox"/>
              <w:ind w:left="0" w:right="173"/>
              <w:jc w:val="both"/>
              <w:rPr>
                <w:u w:color="FFFFFF"/>
              </w:rPr>
            </w:pPr>
            <w:r w:rsidRPr="00CC2945">
              <w:rPr>
                <w:sz w:val="20"/>
              </w:rPr>
              <w:t>Strategic objectiveS 2: Ensure adequate access to basic services and the restoration of livelihoods for all displaced and conflict-affected populations in Rakhine and Kachin, while linking up with recovery and development effort.</w:t>
            </w:r>
          </w:p>
        </w:tc>
      </w:tr>
    </w:tbl>
    <w:p w:rsidR="00AE4537" w:rsidRDefault="00AE4537" w:rsidP="00CC2945"/>
    <w:p w:rsidR="002D4CA1" w:rsidRDefault="007F1E53" w:rsidP="00CC2945">
      <w:pPr>
        <w:pStyle w:val="PMRsub-heading"/>
        <w:spacing w:before="0"/>
        <w:rPr>
          <w:b/>
          <w:sz w:val="22"/>
        </w:rPr>
      </w:pPr>
      <w:r w:rsidRPr="00CC2945">
        <w:rPr>
          <w:b/>
          <w:sz w:val="22"/>
        </w:rPr>
        <w:t>P</w:t>
      </w:r>
      <w:r w:rsidR="002D4CA1" w:rsidRPr="00CC2945">
        <w:rPr>
          <w:b/>
          <w:sz w:val="22"/>
        </w:rPr>
        <w:t>rogress toward Strategic Objective</w:t>
      </w:r>
    </w:p>
    <w:p w:rsidR="00640EA0" w:rsidRPr="00CB412E" w:rsidRDefault="00640EA0" w:rsidP="00640EA0">
      <w:pPr>
        <w:rPr>
          <w:i/>
          <w:lang w:eastAsia="zh-TW"/>
        </w:rPr>
      </w:pPr>
      <w:r w:rsidRPr="00CB412E">
        <w:rPr>
          <w:b/>
          <w:i/>
          <w:lang w:eastAsia="zh-TW"/>
        </w:rPr>
        <w:t>Rakhine</w:t>
      </w:r>
      <w:r w:rsidR="00DD64AB">
        <w:rPr>
          <w:b/>
          <w:i/>
          <w:lang w:eastAsia="zh-TW"/>
        </w:rPr>
        <w:t xml:space="preserve"> State</w:t>
      </w:r>
      <w:r w:rsidR="00A22AD2" w:rsidRPr="00CB412E">
        <w:rPr>
          <w:b/>
          <w:i/>
          <w:lang w:eastAsia="zh-TW"/>
        </w:rPr>
        <w:t>:</w:t>
      </w:r>
      <w:r w:rsidR="00A22AD2" w:rsidRPr="00CB412E">
        <w:rPr>
          <w:i/>
          <w:lang w:eastAsia="zh-TW"/>
        </w:rPr>
        <w:t xml:space="preserve"> Improve access to and quality of learning opportunities (ECCD, formal, NFE, vocational education) for children and adolescents (3-17 yrs old) in affected areas.</w:t>
      </w:r>
      <w:r w:rsidR="00D04174" w:rsidRPr="00CB412E">
        <w:rPr>
          <w:i/>
          <w:lang w:eastAsia="zh-TW"/>
        </w:rPr>
        <w:t xml:space="preserve"> (Targets: ECCD – 9000; Primary – 80%; Adolescents – 50%)</w:t>
      </w:r>
    </w:p>
    <w:p w:rsidR="00640EA0" w:rsidRDefault="00640EA0" w:rsidP="00640EA0">
      <w:pPr>
        <w:rPr>
          <w:lang w:eastAsia="zh-TW"/>
        </w:rPr>
      </w:pPr>
    </w:p>
    <w:p w:rsidR="006426B6" w:rsidRDefault="002F7F94" w:rsidP="006426B6">
      <w:pPr>
        <w:ind w:left="360"/>
      </w:pPr>
      <w:r>
        <w:rPr>
          <w:lang w:eastAsia="zh-TW"/>
        </w:rPr>
        <w:t>P</w:t>
      </w:r>
      <w:r w:rsidR="00CB412E">
        <w:rPr>
          <w:lang w:eastAsia="zh-TW"/>
        </w:rPr>
        <w:t xml:space="preserve">rogress has been made in 2014 to improve access </w:t>
      </w:r>
      <w:r w:rsidR="006426B6">
        <w:rPr>
          <w:lang w:eastAsia="zh-TW"/>
        </w:rPr>
        <w:t>to</w:t>
      </w:r>
      <w:r w:rsidR="00CB412E">
        <w:rPr>
          <w:lang w:eastAsia="zh-TW"/>
        </w:rPr>
        <w:t xml:space="preserve"> education opportunities in Rakhine</w:t>
      </w:r>
      <w:r w:rsidR="00DD64AB">
        <w:rPr>
          <w:lang w:eastAsia="zh-TW"/>
        </w:rPr>
        <w:t xml:space="preserve"> State</w:t>
      </w:r>
      <w:r w:rsidR="006426B6">
        <w:rPr>
          <w:lang w:eastAsia="zh-TW"/>
        </w:rPr>
        <w:t>:</w:t>
      </w:r>
      <w:r w:rsidR="00CB412E">
        <w:rPr>
          <w:lang w:eastAsia="zh-TW"/>
        </w:rPr>
        <w:t xml:space="preserve"> </w:t>
      </w:r>
      <w:r w:rsidR="00CB412E">
        <w:t xml:space="preserve">ECCD services for children aged 3-5 have started in some Sittwe camps </w:t>
      </w:r>
      <w:r w:rsidR="006426B6">
        <w:t xml:space="preserve">providing access to </w:t>
      </w:r>
      <w:r w:rsidR="00E514E4">
        <w:t>526</w:t>
      </w:r>
      <w:r w:rsidR="00CB412E">
        <w:t xml:space="preserve"> children</w:t>
      </w:r>
      <w:r w:rsidR="006426B6">
        <w:t>; c</w:t>
      </w:r>
      <w:r w:rsidR="00CB412E">
        <w:t>overage of education for primary-school IDPs has increased to</w:t>
      </w:r>
      <w:r w:rsidR="006426B6">
        <w:t xml:space="preserve"> approximately </w:t>
      </w:r>
      <w:r w:rsidR="00E514E4">
        <w:t>72</w:t>
      </w:r>
      <w:r w:rsidR="00CB412E">
        <w:t>%</w:t>
      </w:r>
      <w:r w:rsidR="006426B6">
        <w:t>;</w:t>
      </w:r>
      <w:r w:rsidR="00CB412E">
        <w:t xml:space="preserve"> </w:t>
      </w:r>
      <w:r w:rsidR="006426B6">
        <w:t xml:space="preserve">non-formal education services for adolescents in the camps been initiated and at mid-year registers approximately </w:t>
      </w:r>
      <w:r w:rsidR="00E514E4">
        <w:t>8</w:t>
      </w:r>
      <w:r w:rsidR="006426B6">
        <w:t>%.</w:t>
      </w:r>
    </w:p>
    <w:p w:rsidR="006426B6" w:rsidRDefault="006426B6" w:rsidP="006426B6">
      <w:pPr>
        <w:ind w:left="360"/>
      </w:pPr>
    </w:p>
    <w:p w:rsidR="00CB412E" w:rsidRDefault="007C5338" w:rsidP="006426B6">
      <w:pPr>
        <w:ind w:left="360"/>
      </w:pPr>
      <w:r>
        <w:t xml:space="preserve">Sector </w:t>
      </w:r>
      <w:r w:rsidR="006426B6">
        <w:t>p</w:t>
      </w:r>
      <w:r w:rsidR="00CB412E">
        <w:t xml:space="preserve">artners have agreed to expand the curriculum for primary-school </w:t>
      </w:r>
      <w:r>
        <w:t xml:space="preserve">children </w:t>
      </w:r>
      <w:r w:rsidR="00CB412E">
        <w:t xml:space="preserve">to align with the Government system – a move which aims </w:t>
      </w:r>
      <w:r w:rsidR="006426B6">
        <w:t>to</w:t>
      </w:r>
      <w:r w:rsidR="00CB412E">
        <w:t xml:space="preserve"> facilitate </w:t>
      </w:r>
      <w:r w:rsidR="006426B6">
        <w:t xml:space="preserve">greater </w:t>
      </w:r>
      <w:r w:rsidR="00CB412E">
        <w:t>Government engagement with IDP education services</w:t>
      </w:r>
      <w:r>
        <w:t xml:space="preserve"> as well as improving the quantity and quality of the</w:t>
      </w:r>
      <w:r w:rsidR="00370A51">
        <w:t xml:space="preserve"> service currently provided</w:t>
      </w:r>
      <w:r w:rsidR="00CB412E">
        <w:t>.</w:t>
      </w:r>
      <w:r w:rsidR="009018A0">
        <w:t xml:space="preserve"> A joint initiative between the EiE Sector and CP sub-sector (led by CP) to harmonize and expand the adolescent NFE package in Rakhine should also result in </w:t>
      </w:r>
      <w:r w:rsidR="002F7F94">
        <w:t xml:space="preserve">improving </w:t>
      </w:r>
      <w:r w:rsidR="009018A0">
        <w:t>quality through the incorporation of protective life-skills.</w:t>
      </w:r>
    </w:p>
    <w:p w:rsidR="006426B6" w:rsidRDefault="006426B6" w:rsidP="006426B6">
      <w:pPr>
        <w:ind w:left="360"/>
      </w:pPr>
    </w:p>
    <w:p w:rsidR="00640EA0" w:rsidRDefault="00D82970" w:rsidP="00D82970">
      <w:pPr>
        <w:ind w:left="360"/>
        <w:rPr>
          <w:lang w:eastAsia="zh-TW"/>
        </w:rPr>
      </w:pPr>
      <w:r>
        <w:rPr>
          <w:lang w:eastAsia="zh-TW"/>
        </w:rPr>
        <w:t xml:space="preserve">It is important to note, however, that these </w:t>
      </w:r>
      <w:proofErr w:type="spellStart"/>
      <w:r>
        <w:rPr>
          <w:lang w:eastAsia="zh-TW"/>
        </w:rPr>
        <w:t>programmes</w:t>
      </w:r>
      <w:proofErr w:type="spellEnd"/>
      <w:r>
        <w:rPr>
          <w:lang w:eastAsia="zh-TW"/>
        </w:rPr>
        <w:t xml:space="preserve"> are still largely restricted to </w:t>
      </w:r>
      <w:r w:rsidR="00981EBC">
        <w:rPr>
          <w:lang w:eastAsia="zh-TW"/>
        </w:rPr>
        <w:t xml:space="preserve">the </w:t>
      </w:r>
      <w:r>
        <w:rPr>
          <w:lang w:eastAsia="zh-TW"/>
        </w:rPr>
        <w:t>IDP camps</w:t>
      </w:r>
      <w:r w:rsidR="00981EBC">
        <w:rPr>
          <w:lang w:eastAsia="zh-TW"/>
        </w:rPr>
        <w:t xml:space="preserve"> in Rakhine State</w:t>
      </w:r>
      <w:r>
        <w:rPr>
          <w:lang w:eastAsia="zh-TW"/>
        </w:rPr>
        <w:t xml:space="preserve">, their host communities and some surrounding communities. New </w:t>
      </w:r>
      <w:proofErr w:type="spellStart"/>
      <w:r>
        <w:rPr>
          <w:lang w:eastAsia="zh-TW"/>
        </w:rPr>
        <w:t>programmes</w:t>
      </w:r>
      <w:proofErr w:type="spellEnd"/>
      <w:r>
        <w:rPr>
          <w:lang w:eastAsia="zh-TW"/>
        </w:rPr>
        <w:t xml:space="preserve"> targeting isolated communities have</w:t>
      </w:r>
      <w:r w:rsidR="002F7F94">
        <w:rPr>
          <w:lang w:eastAsia="zh-TW"/>
        </w:rPr>
        <w:t xml:space="preserve"> not yet </w:t>
      </w:r>
      <w:r>
        <w:rPr>
          <w:lang w:eastAsia="zh-TW"/>
        </w:rPr>
        <w:t>started, but some progress towards this is expected in the latter half of 2014 in line with a move towards state-wide approaches to programming.</w:t>
      </w:r>
    </w:p>
    <w:p w:rsidR="00E52844" w:rsidRDefault="00E52844" w:rsidP="00D82970">
      <w:pPr>
        <w:ind w:left="360"/>
        <w:rPr>
          <w:lang w:eastAsia="zh-TW"/>
        </w:rPr>
      </w:pPr>
    </w:p>
    <w:p w:rsidR="000671C7" w:rsidRDefault="00BC19B2" w:rsidP="00640EA0">
      <w:pPr>
        <w:rPr>
          <w:b/>
          <w:lang w:eastAsia="zh-TW"/>
        </w:rPr>
      </w:pPr>
      <w:r w:rsidRPr="00BC19B2">
        <w:rPr>
          <w:b/>
          <w:lang w:eastAsia="zh-TW"/>
        </w:rPr>
        <w:t>Kachin</w:t>
      </w:r>
      <w:r w:rsidR="007C5338">
        <w:rPr>
          <w:rFonts w:cs="Arial"/>
          <w:b/>
          <w:color w:val="000000" w:themeColor="text1"/>
          <w:szCs w:val="20"/>
        </w:rPr>
        <w:t xml:space="preserve"> </w:t>
      </w:r>
      <w:r w:rsidR="007C5338">
        <w:rPr>
          <w:b/>
        </w:rPr>
        <w:t>&amp; northern Shan</w:t>
      </w:r>
    </w:p>
    <w:p w:rsidR="00BC19B2" w:rsidRPr="000671C7" w:rsidRDefault="00BC19B2" w:rsidP="000671C7">
      <w:pPr>
        <w:ind w:left="360"/>
        <w:rPr>
          <w:b/>
          <w:lang w:eastAsia="zh-TW"/>
        </w:rPr>
      </w:pPr>
      <w:r>
        <w:rPr>
          <w:lang w:eastAsia="zh-TW"/>
        </w:rPr>
        <w:t xml:space="preserve">Access to education has improved in Kachin due </w:t>
      </w:r>
      <w:r w:rsidR="00E52844">
        <w:rPr>
          <w:lang w:eastAsia="zh-TW"/>
        </w:rPr>
        <w:t>to the open</w:t>
      </w:r>
      <w:r>
        <w:rPr>
          <w:lang w:eastAsia="zh-TW"/>
        </w:rPr>
        <w:t xml:space="preserve">ing of middle schools in IDP camps in NGCA (KCA) Kachin, and </w:t>
      </w:r>
      <w:r w:rsidR="00E52844">
        <w:rPr>
          <w:lang w:eastAsia="zh-TW"/>
        </w:rPr>
        <w:t xml:space="preserve">the Government’s actions to support access for IDPs in areas under its control, including for middle school students. However, weak coordination and information management in Kachin means </w:t>
      </w:r>
      <w:r w:rsidR="00981EBC">
        <w:rPr>
          <w:lang w:eastAsia="zh-TW"/>
        </w:rPr>
        <w:t>that quantitative evidence of</w:t>
      </w:r>
      <w:r w:rsidR="00E52844">
        <w:rPr>
          <w:lang w:eastAsia="zh-TW"/>
        </w:rPr>
        <w:t xml:space="preserve"> this is lacking.</w:t>
      </w:r>
      <w:r>
        <w:rPr>
          <w:lang w:eastAsia="zh-TW"/>
        </w:rPr>
        <w:t xml:space="preserve"> </w:t>
      </w:r>
    </w:p>
    <w:p w:rsidR="00BC19B2" w:rsidRDefault="00BC19B2" w:rsidP="00640EA0">
      <w:pPr>
        <w:rPr>
          <w:lang w:eastAsia="zh-TW"/>
        </w:rPr>
      </w:pPr>
    </w:p>
    <w:p w:rsidR="00CB412E" w:rsidRPr="00640EA0" w:rsidRDefault="00CB412E" w:rsidP="00640EA0">
      <w:pPr>
        <w:rPr>
          <w:lang w:eastAsia="zh-TW"/>
        </w:rPr>
      </w:pPr>
    </w:p>
    <w:p w:rsidR="002D4CA1" w:rsidRPr="00CC2945" w:rsidRDefault="002D4CA1" w:rsidP="00CC2945">
      <w:pPr>
        <w:pStyle w:val="PMRsub-heading"/>
        <w:spacing w:before="0"/>
        <w:rPr>
          <w:b/>
          <w:sz w:val="22"/>
        </w:rPr>
      </w:pPr>
      <w:r w:rsidRPr="00CC2945">
        <w:rPr>
          <w:b/>
          <w:sz w:val="22"/>
        </w:rPr>
        <w:t>Indicators: Targets vs. Results to date</w:t>
      </w:r>
    </w:p>
    <w:tbl>
      <w:tblPr>
        <w:tblStyle w:val="TableGrid"/>
        <w:tblpPr w:leftFromText="180" w:rightFromText="180" w:vertAnchor="text" w:horzAnchor="page" w:tblpX="960" w:tblpY="325"/>
        <w:tblW w:w="107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tblPr>
      <w:tblGrid>
        <w:gridCol w:w="5868"/>
        <w:gridCol w:w="1080"/>
        <w:gridCol w:w="828"/>
        <w:gridCol w:w="882"/>
        <w:gridCol w:w="2070"/>
      </w:tblGrid>
      <w:tr w:rsidR="000753E7" w:rsidRPr="00B91087" w:rsidTr="000753E7">
        <w:trPr>
          <w:trHeight w:val="366"/>
        </w:trPr>
        <w:tc>
          <w:tcPr>
            <w:tcW w:w="5868" w:type="dxa"/>
            <w:tcBorders>
              <w:top w:val="nil"/>
              <w:left w:val="single" w:sz="4" w:space="0" w:color="D9D9D9" w:themeColor="background1" w:themeShade="D9"/>
              <w:bottom w:val="nil"/>
            </w:tcBorders>
            <w:shd w:val="clear" w:color="auto" w:fill="D9D9D9" w:themeFill="background1" w:themeFillShade="D9"/>
            <w:vAlign w:val="center"/>
          </w:tcPr>
          <w:p w:rsidR="000753E7" w:rsidRPr="00E72168" w:rsidRDefault="000753E7" w:rsidP="000753E7">
            <w:pPr>
              <w:spacing w:line="276" w:lineRule="auto"/>
              <w:rPr>
                <w:b/>
                <w:bCs/>
                <w:color w:val="026CB6"/>
                <w:lang w:val="en-GB"/>
              </w:rPr>
            </w:pPr>
            <w:r w:rsidRPr="00E72168">
              <w:rPr>
                <w:b/>
                <w:bCs/>
                <w:color w:val="026CB6"/>
                <w:lang w:val="en-GB"/>
              </w:rPr>
              <w:t>Indicator</w:t>
            </w:r>
          </w:p>
        </w:tc>
        <w:tc>
          <w:tcPr>
            <w:tcW w:w="1080" w:type="dxa"/>
            <w:tcBorders>
              <w:top w:val="nil"/>
              <w:bottom w:val="nil"/>
            </w:tcBorders>
            <w:shd w:val="clear" w:color="auto" w:fill="D9D9D9" w:themeFill="background1" w:themeFillShade="D9"/>
            <w:vAlign w:val="center"/>
          </w:tcPr>
          <w:p w:rsidR="000753E7" w:rsidRPr="00E72168" w:rsidRDefault="000753E7" w:rsidP="000753E7">
            <w:pPr>
              <w:jc w:val="center"/>
              <w:rPr>
                <w:b/>
                <w:bCs/>
                <w:color w:val="026CB6"/>
                <w:lang w:val="en-GB"/>
              </w:rPr>
            </w:pPr>
            <w:r>
              <w:rPr>
                <w:b/>
                <w:bCs/>
                <w:color w:val="026CB6"/>
                <w:lang w:val="en-GB"/>
              </w:rPr>
              <w:t>Baseline</w:t>
            </w:r>
          </w:p>
        </w:tc>
        <w:tc>
          <w:tcPr>
            <w:tcW w:w="828" w:type="dxa"/>
            <w:tcBorders>
              <w:top w:val="nil"/>
              <w:bottom w:val="nil"/>
            </w:tcBorders>
            <w:shd w:val="clear" w:color="auto" w:fill="D9D9D9" w:themeFill="background1" w:themeFillShade="D9"/>
            <w:vAlign w:val="center"/>
          </w:tcPr>
          <w:p w:rsidR="000753E7" w:rsidRPr="00E72168" w:rsidRDefault="000753E7" w:rsidP="000753E7">
            <w:pPr>
              <w:rPr>
                <w:b/>
                <w:bCs/>
                <w:color w:val="026CB6"/>
              </w:rPr>
            </w:pPr>
            <w:r w:rsidRPr="00E72168">
              <w:rPr>
                <w:b/>
                <w:bCs/>
                <w:color w:val="026CB6"/>
                <w:lang w:val="en-GB"/>
              </w:rPr>
              <w:t>Target</w:t>
            </w:r>
          </w:p>
        </w:tc>
        <w:tc>
          <w:tcPr>
            <w:tcW w:w="882" w:type="dxa"/>
            <w:tcBorders>
              <w:top w:val="nil"/>
              <w:bottom w:val="nil"/>
            </w:tcBorders>
            <w:shd w:val="clear" w:color="auto" w:fill="D9D9D9" w:themeFill="background1" w:themeFillShade="D9"/>
            <w:vAlign w:val="center"/>
          </w:tcPr>
          <w:p w:rsidR="000753E7" w:rsidRPr="00E72168" w:rsidRDefault="000753E7" w:rsidP="000753E7">
            <w:pPr>
              <w:rPr>
                <w:b/>
                <w:bCs/>
                <w:color w:val="026CB6"/>
              </w:rPr>
            </w:pPr>
            <w:r w:rsidRPr="00E72168">
              <w:rPr>
                <w:b/>
                <w:bCs/>
                <w:color w:val="026CB6"/>
                <w:lang w:val="en-GB"/>
              </w:rPr>
              <w:t xml:space="preserve">Result </w:t>
            </w:r>
          </w:p>
        </w:tc>
        <w:tc>
          <w:tcPr>
            <w:tcW w:w="2070" w:type="dxa"/>
            <w:tcBorders>
              <w:top w:val="nil"/>
              <w:bottom w:val="nil"/>
            </w:tcBorders>
            <w:shd w:val="clear" w:color="auto" w:fill="D9D9D9" w:themeFill="background1" w:themeFillShade="D9"/>
            <w:vAlign w:val="center"/>
          </w:tcPr>
          <w:p w:rsidR="000753E7" w:rsidRPr="00E72168" w:rsidRDefault="000753E7" w:rsidP="000753E7">
            <w:pPr>
              <w:rPr>
                <w:b/>
                <w:bCs/>
                <w:color w:val="026CB6"/>
                <w:lang w:val="en-GB"/>
              </w:rPr>
            </w:pPr>
            <w:r>
              <w:rPr>
                <w:b/>
                <w:bCs/>
                <w:color w:val="026CB6"/>
                <w:lang w:val="en-GB"/>
              </w:rPr>
              <w:t>Cluster/sector</w:t>
            </w:r>
          </w:p>
        </w:tc>
      </w:tr>
      <w:tr w:rsidR="000753E7" w:rsidRPr="00B91087" w:rsidTr="000753E7">
        <w:trPr>
          <w:trHeight w:val="1139"/>
        </w:trPr>
        <w:tc>
          <w:tcPr>
            <w:tcW w:w="586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753E7" w:rsidRPr="00DF31F7" w:rsidRDefault="000753E7" w:rsidP="000753E7">
            <w:pPr>
              <w:rPr>
                <w:rFonts w:eastAsia="PMingLiU"/>
                <w:szCs w:val="18"/>
                <w:lang w:eastAsia="zh-TW"/>
              </w:rPr>
            </w:pPr>
            <w:r w:rsidRPr="00DF31F7">
              <w:rPr>
                <w:rFonts w:eastAsia="PMingLiU"/>
                <w:szCs w:val="18"/>
                <w:lang w:eastAsia="zh-TW"/>
              </w:rPr>
              <w:t>% of targeted emergency-affected IDP children and adolescents  (3-17 yrs old) regularly accessing learning opportunities</w:t>
            </w:r>
            <w:r w:rsidR="00CB412E" w:rsidRPr="00DF31F7">
              <w:rPr>
                <w:rFonts w:eastAsia="PMingLiU"/>
                <w:szCs w:val="18"/>
                <w:lang w:eastAsia="zh-TW"/>
              </w:rPr>
              <w:t xml:space="preserve"> </w:t>
            </w:r>
            <w:r w:rsidR="00CB412E" w:rsidRPr="00DF31F7">
              <w:rPr>
                <w:rFonts w:eastAsia="PMingLiU"/>
                <w:i/>
                <w:color w:val="FF0000"/>
                <w:szCs w:val="18"/>
                <w:lang w:eastAsia="zh-TW"/>
              </w:rPr>
              <w:t xml:space="preserve">(IDP camps </w:t>
            </w:r>
            <w:r w:rsidR="00981EBC" w:rsidRPr="00DF31F7">
              <w:rPr>
                <w:rFonts w:eastAsia="PMingLiU"/>
                <w:i/>
                <w:color w:val="FF0000"/>
                <w:szCs w:val="18"/>
                <w:lang w:eastAsia="zh-TW"/>
              </w:rPr>
              <w:t xml:space="preserve">in Rakhine State </w:t>
            </w:r>
            <w:r w:rsidR="00CB412E" w:rsidRPr="00DF31F7">
              <w:rPr>
                <w:rFonts w:eastAsia="PMingLiU"/>
                <w:i/>
                <w:color w:val="FF0000"/>
                <w:szCs w:val="18"/>
                <w:lang w:eastAsia="zh-TW"/>
              </w:rPr>
              <w:t>only)</w:t>
            </w:r>
          </w:p>
        </w:tc>
        <w:tc>
          <w:tcPr>
            <w:tcW w:w="108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D04174" w:rsidRPr="00D04174" w:rsidRDefault="00D04174" w:rsidP="000753E7">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ECCD</w:t>
            </w:r>
            <w:r w:rsidR="00A22AD2" w:rsidRPr="00D04174">
              <w:rPr>
                <w:b/>
                <w:bCs/>
                <w:color w:val="808080" w:themeColor="background1" w:themeShade="80"/>
                <w:sz w:val="14"/>
                <w:szCs w:val="14"/>
                <w:lang w:val="en-GB"/>
              </w:rPr>
              <w:t>:</w:t>
            </w:r>
            <w:r w:rsidRPr="00D04174">
              <w:rPr>
                <w:b/>
                <w:bCs/>
                <w:color w:val="808080" w:themeColor="background1" w:themeShade="80"/>
                <w:sz w:val="14"/>
                <w:szCs w:val="14"/>
                <w:lang w:val="en-GB"/>
              </w:rPr>
              <w:t xml:space="preserve"> 0</w:t>
            </w:r>
          </w:p>
          <w:p w:rsidR="00D04174" w:rsidRPr="00D04174" w:rsidRDefault="00D04174" w:rsidP="000753E7">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Primary: 50%</w:t>
            </w:r>
          </w:p>
          <w:p w:rsidR="00A22AD2" w:rsidRPr="00D04174" w:rsidRDefault="00D04174" w:rsidP="000753E7">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Adolescent Edu: </w:t>
            </w:r>
            <w:r w:rsidR="00A22AD2" w:rsidRPr="00D04174">
              <w:rPr>
                <w:b/>
                <w:bCs/>
                <w:color w:val="808080" w:themeColor="background1" w:themeShade="80"/>
                <w:sz w:val="14"/>
                <w:szCs w:val="14"/>
                <w:lang w:val="en-GB"/>
              </w:rPr>
              <w:t xml:space="preserve"> </w:t>
            </w:r>
          </w:p>
          <w:p w:rsidR="000753E7" w:rsidRPr="00D04174" w:rsidRDefault="00D04174" w:rsidP="000753E7">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7%</w:t>
            </w:r>
          </w:p>
        </w:tc>
        <w:tc>
          <w:tcPr>
            <w:tcW w:w="82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D04174" w:rsidRPr="00D04174" w:rsidRDefault="00D04174" w:rsidP="00D04174">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ECCD: </w:t>
            </w:r>
            <w:r w:rsidR="00CB412E">
              <w:rPr>
                <w:b/>
                <w:bCs/>
                <w:color w:val="808080" w:themeColor="background1" w:themeShade="80"/>
                <w:sz w:val="14"/>
                <w:szCs w:val="14"/>
                <w:lang w:val="en-GB"/>
              </w:rPr>
              <w:t>9000</w:t>
            </w:r>
          </w:p>
          <w:p w:rsidR="00D04174" w:rsidRPr="00D04174" w:rsidRDefault="00CB412E" w:rsidP="00D04174">
            <w:pPr>
              <w:spacing w:line="276" w:lineRule="auto"/>
              <w:jc w:val="right"/>
              <w:rPr>
                <w:b/>
                <w:bCs/>
                <w:color w:val="808080" w:themeColor="background1" w:themeShade="80"/>
                <w:sz w:val="14"/>
                <w:szCs w:val="14"/>
                <w:lang w:val="en-GB"/>
              </w:rPr>
            </w:pPr>
            <w:r>
              <w:rPr>
                <w:b/>
                <w:bCs/>
                <w:color w:val="808080" w:themeColor="background1" w:themeShade="80"/>
                <w:sz w:val="14"/>
                <w:szCs w:val="14"/>
                <w:lang w:val="en-GB"/>
              </w:rPr>
              <w:t>Primary: 8</w:t>
            </w:r>
            <w:r w:rsidR="00D04174" w:rsidRPr="00D04174">
              <w:rPr>
                <w:b/>
                <w:bCs/>
                <w:color w:val="808080" w:themeColor="background1" w:themeShade="80"/>
                <w:sz w:val="14"/>
                <w:szCs w:val="14"/>
                <w:lang w:val="en-GB"/>
              </w:rPr>
              <w:t>0%</w:t>
            </w:r>
          </w:p>
          <w:p w:rsidR="00D04174" w:rsidRPr="00D04174" w:rsidRDefault="00D04174" w:rsidP="00D04174">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Adolescent Edu:  </w:t>
            </w:r>
          </w:p>
          <w:p w:rsidR="000753E7" w:rsidRPr="00D04174" w:rsidRDefault="00CB412E" w:rsidP="00D04174">
            <w:pPr>
              <w:spacing w:line="276" w:lineRule="auto"/>
              <w:jc w:val="right"/>
              <w:rPr>
                <w:b/>
                <w:bCs/>
                <w:color w:val="808080" w:themeColor="background1" w:themeShade="80"/>
                <w:sz w:val="14"/>
                <w:szCs w:val="14"/>
                <w:lang w:val="en-GB"/>
              </w:rPr>
            </w:pPr>
            <w:r>
              <w:rPr>
                <w:b/>
                <w:bCs/>
                <w:color w:val="808080" w:themeColor="background1" w:themeShade="80"/>
                <w:sz w:val="14"/>
                <w:szCs w:val="14"/>
                <w:lang w:val="en-GB"/>
              </w:rPr>
              <w:t>50</w:t>
            </w:r>
            <w:r w:rsidR="00D04174" w:rsidRPr="00D04174">
              <w:rPr>
                <w:b/>
                <w:bCs/>
                <w:color w:val="808080" w:themeColor="background1" w:themeShade="80"/>
                <w:sz w:val="14"/>
                <w:szCs w:val="14"/>
                <w:lang w:val="en-GB"/>
              </w:rPr>
              <w:t>%</w:t>
            </w:r>
          </w:p>
        </w:tc>
        <w:tc>
          <w:tcPr>
            <w:tcW w:w="88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D04174" w:rsidRPr="00D04174" w:rsidRDefault="00D04174" w:rsidP="00D04174">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ECCD: </w:t>
            </w:r>
            <w:r w:rsidR="00E514E4">
              <w:rPr>
                <w:b/>
                <w:bCs/>
                <w:color w:val="808080" w:themeColor="background1" w:themeShade="80"/>
                <w:sz w:val="14"/>
                <w:szCs w:val="14"/>
                <w:lang w:val="en-GB"/>
              </w:rPr>
              <w:t>526</w:t>
            </w:r>
          </w:p>
          <w:p w:rsidR="00D04174" w:rsidRPr="00D04174" w:rsidRDefault="00D04174" w:rsidP="00D04174">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Primary: </w:t>
            </w:r>
            <w:r w:rsidR="00E514E4">
              <w:rPr>
                <w:b/>
                <w:bCs/>
                <w:color w:val="808080" w:themeColor="background1" w:themeShade="80"/>
                <w:sz w:val="14"/>
                <w:szCs w:val="14"/>
                <w:lang w:val="en-GB"/>
              </w:rPr>
              <w:t>72</w:t>
            </w:r>
            <w:r w:rsidRPr="00D04174">
              <w:rPr>
                <w:b/>
                <w:bCs/>
                <w:color w:val="808080" w:themeColor="background1" w:themeShade="80"/>
                <w:sz w:val="14"/>
                <w:szCs w:val="14"/>
                <w:lang w:val="en-GB"/>
              </w:rPr>
              <w:t>%</w:t>
            </w:r>
          </w:p>
          <w:p w:rsidR="00D04174" w:rsidRPr="00D04174" w:rsidRDefault="00D04174" w:rsidP="00D04174">
            <w:pPr>
              <w:spacing w:line="276" w:lineRule="auto"/>
              <w:jc w:val="right"/>
              <w:rPr>
                <w:b/>
                <w:bCs/>
                <w:color w:val="808080" w:themeColor="background1" w:themeShade="80"/>
                <w:sz w:val="14"/>
                <w:szCs w:val="14"/>
                <w:lang w:val="en-GB"/>
              </w:rPr>
            </w:pPr>
            <w:r w:rsidRPr="00D04174">
              <w:rPr>
                <w:b/>
                <w:bCs/>
                <w:color w:val="808080" w:themeColor="background1" w:themeShade="80"/>
                <w:sz w:val="14"/>
                <w:szCs w:val="14"/>
                <w:lang w:val="en-GB"/>
              </w:rPr>
              <w:t xml:space="preserve">Adolescent Edu:  </w:t>
            </w:r>
          </w:p>
          <w:p w:rsidR="000753E7" w:rsidRPr="00D04174" w:rsidRDefault="00E514E4" w:rsidP="00D04174">
            <w:pPr>
              <w:spacing w:line="276" w:lineRule="auto"/>
              <w:jc w:val="right"/>
              <w:rPr>
                <w:b/>
                <w:bCs/>
                <w:color w:val="808080" w:themeColor="background1" w:themeShade="80"/>
                <w:sz w:val="14"/>
                <w:szCs w:val="14"/>
                <w:lang w:val="en-GB"/>
              </w:rPr>
            </w:pPr>
            <w:r>
              <w:rPr>
                <w:b/>
                <w:bCs/>
                <w:color w:val="808080" w:themeColor="background1" w:themeShade="80"/>
                <w:sz w:val="14"/>
                <w:szCs w:val="14"/>
                <w:lang w:val="en-GB"/>
              </w:rPr>
              <w:t>8</w:t>
            </w:r>
            <w:r w:rsidR="00D04174" w:rsidRPr="00D04174">
              <w:rPr>
                <w:b/>
                <w:bCs/>
                <w:color w:val="808080" w:themeColor="background1" w:themeShade="80"/>
                <w:sz w:val="14"/>
                <w:szCs w:val="14"/>
                <w:lang w:val="en-GB"/>
              </w:rPr>
              <w:t>%</w:t>
            </w:r>
          </w:p>
        </w:tc>
        <w:tc>
          <w:tcPr>
            <w:tcW w:w="207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753E7" w:rsidRPr="00844990" w:rsidRDefault="000753E7" w:rsidP="000753E7">
            <w:pPr>
              <w:jc w:val="center"/>
              <w:rPr>
                <w:rFonts w:eastAsia="PMingLiU"/>
                <w:szCs w:val="18"/>
                <w:lang w:eastAsia="zh-TW"/>
              </w:rPr>
            </w:pPr>
            <w:r w:rsidRPr="00844990">
              <w:rPr>
                <w:rFonts w:eastAsia="PMingLiU"/>
                <w:szCs w:val="18"/>
                <w:lang w:eastAsia="zh-TW"/>
              </w:rPr>
              <w:t>Education Sector</w:t>
            </w:r>
          </w:p>
        </w:tc>
      </w:tr>
    </w:tbl>
    <w:p w:rsidR="002D4CA1" w:rsidRDefault="002D4CA1" w:rsidP="002D4CA1"/>
    <w:p w:rsidR="008D22AC" w:rsidRDefault="008D22AC" w:rsidP="00CC2945">
      <w:pPr>
        <w:pStyle w:val="PMRtextmaincontenttext"/>
        <w:ind w:right="216"/>
        <w:jc w:val="both"/>
        <w:rPr>
          <w:b/>
          <w:color w:val="000000" w:themeColor="text1"/>
          <w:sz w:val="24"/>
          <w:szCs w:val="20"/>
          <w:u w:val="single"/>
        </w:rPr>
      </w:pPr>
    </w:p>
    <w:p w:rsidR="008D22AC" w:rsidRDefault="008D22AC" w:rsidP="00CC2945">
      <w:pPr>
        <w:pStyle w:val="PMRtextmaincontenttext"/>
        <w:ind w:right="216"/>
        <w:jc w:val="both"/>
        <w:rPr>
          <w:b/>
          <w:color w:val="000000" w:themeColor="text1"/>
          <w:sz w:val="24"/>
          <w:szCs w:val="20"/>
          <w:u w:val="single"/>
        </w:rPr>
      </w:pPr>
    </w:p>
    <w:p w:rsidR="007F1E53" w:rsidRPr="00CC2945" w:rsidRDefault="00CC2945" w:rsidP="00CC2945">
      <w:pPr>
        <w:pStyle w:val="PMRtextmaincontenttext"/>
        <w:ind w:right="216"/>
        <w:jc w:val="both"/>
        <w:rPr>
          <w:b/>
          <w:color w:val="000000" w:themeColor="text1"/>
          <w:sz w:val="24"/>
          <w:szCs w:val="20"/>
          <w:u w:val="single"/>
        </w:rPr>
      </w:pPr>
      <w:r w:rsidRPr="007F1E53">
        <w:rPr>
          <w:b/>
          <w:color w:val="000000" w:themeColor="text1"/>
          <w:sz w:val="24"/>
          <w:szCs w:val="20"/>
          <w:u w:val="single"/>
        </w:rPr>
        <w:t>Strategic Objectives</w:t>
      </w:r>
      <w:r>
        <w:rPr>
          <w:b/>
          <w:color w:val="000000" w:themeColor="text1"/>
          <w:sz w:val="24"/>
          <w:szCs w:val="20"/>
          <w:u w:val="single"/>
        </w:rPr>
        <w:t xml:space="preserve"> 3</w:t>
      </w:r>
      <w:r w:rsidRPr="007F1E53">
        <w:rPr>
          <w:b/>
          <w:color w:val="000000" w:themeColor="text1"/>
          <w:sz w:val="24"/>
          <w:szCs w:val="20"/>
          <w:u w:val="single"/>
        </w:rPr>
        <w:t xml:space="preserve">: </w:t>
      </w:r>
      <w:r>
        <w:rPr>
          <w:b/>
          <w:color w:val="000000" w:themeColor="text1"/>
          <w:sz w:val="24"/>
          <w:szCs w:val="20"/>
          <w:u w:val="single"/>
        </w:rPr>
        <w:t>Achievements to date</w:t>
      </w:r>
    </w:p>
    <w:tbl>
      <w:tblPr>
        <w:tblpPr w:leftFromText="180" w:rightFromText="180" w:vertAnchor="text" w:horzAnchor="margin" w:tblpY="142"/>
        <w:tblW w:w="10442" w:type="dxa"/>
        <w:tblCellMar>
          <w:top w:w="170" w:type="dxa"/>
          <w:left w:w="0" w:type="dxa"/>
          <w:bottom w:w="170" w:type="dxa"/>
          <w:right w:w="0" w:type="dxa"/>
        </w:tblCellMar>
        <w:tblLook w:val="04A0"/>
      </w:tblPr>
      <w:tblGrid>
        <w:gridCol w:w="10442"/>
      </w:tblGrid>
      <w:tr w:rsidR="007F1E53" w:rsidRPr="0034351A" w:rsidTr="007F1E53">
        <w:trPr>
          <w:trHeight w:val="456"/>
        </w:trPr>
        <w:tc>
          <w:tcPr>
            <w:tcW w:w="10442" w:type="dxa"/>
            <w:shd w:val="clear" w:color="auto" w:fill="F47932"/>
          </w:tcPr>
          <w:p w:rsidR="007F1E53" w:rsidRPr="007F1E53" w:rsidRDefault="007F1E53" w:rsidP="002F7CFD">
            <w:pPr>
              <w:pStyle w:val="SRPwhitetitleinorangebox"/>
              <w:rPr>
                <w:sz w:val="20"/>
                <w:szCs w:val="20"/>
                <w:u w:color="FFFFFF"/>
              </w:rPr>
            </w:pPr>
            <w:r w:rsidRPr="007F1E53">
              <w:rPr>
                <w:sz w:val="20"/>
                <w:szCs w:val="20"/>
                <w:u w:color="FFFFFF"/>
              </w:rPr>
              <w:t>Strategic objective 3: Ensure a protective environment for vulnerable people and individuals at risk among the displaced population in Rakhine and Kachin</w:t>
            </w:r>
          </w:p>
        </w:tc>
      </w:tr>
    </w:tbl>
    <w:p w:rsidR="007F1E53" w:rsidRDefault="007F1E53" w:rsidP="007F1E53"/>
    <w:p w:rsidR="007F1E53" w:rsidRPr="00CC2945" w:rsidRDefault="007F1E53" w:rsidP="007F1E53">
      <w:pPr>
        <w:pStyle w:val="PMRsub-heading"/>
        <w:spacing w:before="0"/>
        <w:rPr>
          <w:b/>
          <w:sz w:val="22"/>
        </w:rPr>
      </w:pPr>
      <w:r w:rsidRPr="00CC2945">
        <w:rPr>
          <w:b/>
          <w:sz w:val="22"/>
        </w:rPr>
        <w:t>Progress toward Strategic Objective</w:t>
      </w:r>
    </w:p>
    <w:p w:rsidR="005A0A24" w:rsidRPr="005A0A24" w:rsidRDefault="005A0A24" w:rsidP="007F1E53">
      <w:pPr>
        <w:pStyle w:val="PMRtextmaincontenttext"/>
        <w:ind w:right="216"/>
        <w:jc w:val="both"/>
        <w:rPr>
          <w:i/>
        </w:rPr>
      </w:pPr>
      <w:r w:rsidRPr="005A0A24">
        <w:rPr>
          <w:b/>
          <w:i/>
          <w:szCs w:val="18"/>
        </w:rPr>
        <w:t xml:space="preserve">Rakhine </w:t>
      </w:r>
      <w:r w:rsidR="00370A51">
        <w:rPr>
          <w:b/>
          <w:i/>
          <w:szCs w:val="18"/>
        </w:rPr>
        <w:t>and</w:t>
      </w:r>
      <w:r w:rsidRPr="005A0A24">
        <w:rPr>
          <w:b/>
          <w:i/>
          <w:szCs w:val="18"/>
        </w:rPr>
        <w:t xml:space="preserve"> Kachin</w:t>
      </w:r>
      <w:r w:rsidR="00370A51">
        <w:rPr>
          <w:b/>
          <w:i/>
          <w:szCs w:val="18"/>
        </w:rPr>
        <w:t xml:space="preserve"> &amp; northern Shan</w:t>
      </w:r>
      <w:r w:rsidRPr="005A0A24">
        <w:rPr>
          <w:b/>
          <w:i/>
          <w:szCs w:val="18"/>
        </w:rPr>
        <w:t xml:space="preserve">: </w:t>
      </w:r>
      <w:r w:rsidRPr="005A0A24">
        <w:rPr>
          <w:i/>
          <w:szCs w:val="18"/>
        </w:rPr>
        <w:t>% of targeted schools and education spaces which have established functioning child protection and monitoring mechanisms (in close collaboration with the Child Protection sector)</w:t>
      </w:r>
    </w:p>
    <w:p w:rsidR="005A0A24" w:rsidRDefault="008E6011" w:rsidP="00F46A7C">
      <w:pPr>
        <w:pStyle w:val="PMRtextmaincontenttext"/>
        <w:ind w:left="720" w:right="216"/>
        <w:rPr>
          <w:lang w:val="en-GB"/>
        </w:rPr>
      </w:pPr>
      <w:r>
        <w:rPr>
          <w:lang w:val="en-GB"/>
        </w:rPr>
        <w:t>Key aspects of Child protection (including psychosocial support</w:t>
      </w:r>
      <w:r w:rsidR="00F46A7C">
        <w:rPr>
          <w:lang w:val="en-GB"/>
        </w:rPr>
        <w:t xml:space="preserve"> and positive discipline</w:t>
      </w:r>
      <w:r>
        <w:rPr>
          <w:lang w:val="en-GB"/>
        </w:rPr>
        <w:t xml:space="preserve">) </w:t>
      </w:r>
      <w:r w:rsidR="00BA11A4">
        <w:rPr>
          <w:lang w:val="en-GB"/>
        </w:rPr>
        <w:t>have</w:t>
      </w:r>
      <w:r>
        <w:rPr>
          <w:lang w:val="en-GB"/>
        </w:rPr>
        <w:t xml:space="preserve"> been incorporated into teacher training delivered in Kachin and Rakhine </w:t>
      </w:r>
      <w:r w:rsidR="00A46F9A">
        <w:rPr>
          <w:lang w:val="en-GB"/>
        </w:rPr>
        <w:t xml:space="preserve">State </w:t>
      </w:r>
      <w:r>
        <w:rPr>
          <w:lang w:val="en-GB"/>
        </w:rPr>
        <w:t xml:space="preserve">in 2014, </w:t>
      </w:r>
      <w:r w:rsidR="00FD0399">
        <w:rPr>
          <w:lang w:val="en-GB"/>
        </w:rPr>
        <w:t>and delivered directly to teachers and caretakers</w:t>
      </w:r>
      <w:r>
        <w:rPr>
          <w:lang w:val="en-GB"/>
        </w:rPr>
        <w:t xml:space="preserve"> in some of the boarding houses in NGCA (KCA) Kachin</w:t>
      </w:r>
      <w:r w:rsidR="00F46A7C">
        <w:rPr>
          <w:lang w:val="en-GB"/>
        </w:rPr>
        <w:t xml:space="preserve"> (reaching approx </w:t>
      </w:r>
      <w:r w:rsidR="0013742E">
        <w:rPr>
          <w:lang w:val="en-GB"/>
        </w:rPr>
        <w:t>68</w:t>
      </w:r>
      <w:r w:rsidR="00F46A7C">
        <w:rPr>
          <w:lang w:val="en-GB"/>
        </w:rPr>
        <w:t xml:space="preserve"> to date</w:t>
      </w:r>
      <w:r w:rsidR="0057387C">
        <w:rPr>
          <w:lang w:val="en-GB"/>
        </w:rPr>
        <w:t xml:space="preserve"> over 3 boarding schools/houses</w:t>
      </w:r>
      <w:r w:rsidR="00F46A7C">
        <w:rPr>
          <w:lang w:val="en-GB"/>
        </w:rPr>
        <w:t>)</w:t>
      </w:r>
      <w:r>
        <w:rPr>
          <w:lang w:val="en-GB"/>
        </w:rPr>
        <w:t xml:space="preserve">. However, no </w:t>
      </w:r>
      <w:r w:rsidR="000671C7">
        <w:rPr>
          <w:lang w:val="en-GB"/>
        </w:rPr>
        <w:t>dedicated mechanisms l</w:t>
      </w:r>
      <w:r w:rsidR="00BA11A4">
        <w:rPr>
          <w:lang w:val="en-GB"/>
        </w:rPr>
        <w:t xml:space="preserve">inking education spaces and teachers to established referral </w:t>
      </w:r>
      <w:r w:rsidR="00F46A7C">
        <w:rPr>
          <w:lang w:val="en-GB"/>
        </w:rPr>
        <w:t>pathways</w:t>
      </w:r>
      <w:r w:rsidR="00BA11A4">
        <w:rPr>
          <w:lang w:val="en-GB"/>
        </w:rPr>
        <w:t xml:space="preserve"> have yet been </w:t>
      </w:r>
      <w:r w:rsidR="000671C7">
        <w:rPr>
          <w:lang w:val="en-GB"/>
        </w:rPr>
        <w:t xml:space="preserve">formally </w:t>
      </w:r>
      <w:r w:rsidR="00BA11A4">
        <w:rPr>
          <w:lang w:val="en-GB"/>
        </w:rPr>
        <w:t>established. Efforts to do so, in close collaboration with P</w:t>
      </w:r>
      <w:r w:rsidR="00F46A7C">
        <w:rPr>
          <w:lang w:val="en-GB"/>
        </w:rPr>
        <w:t>rotection Sector and CP sub-Sector</w:t>
      </w:r>
      <w:r w:rsidR="003437D8">
        <w:rPr>
          <w:lang w:val="en-GB"/>
        </w:rPr>
        <w:t>,</w:t>
      </w:r>
      <w:r w:rsidR="00BA11A4">
        <w:rPr>
          <w:lang w:val="en-GB"/>
        </w:rPr>
        <w:t xml:space="preserve"> will be continued in the second half of 2014.</w:t>
      </w:r>
      <w:r w:rsidR="00F46A7C">
        <w:rPr>
          <w:lang w:val="en-GB"/>
        </w:rPr>
        <w:t xml:space="preserve"> This will prove easier in Rakhine </w:t>
      </w:r>
      <w:r w:rsidR="00A46F9A">
        <w:rPr>
          <w:lang w:val="en-GB"/>
        </w:rPr>
        <w:t xml:space="preserve">State </w:t>
      </w:r>
      <w:r w:rsidR="00F46A7C">
        <w:rPr>
          <w:lang w:val="en-GB"/>
        </w:rPr>
        <w:t xml:space="preserve">where a </w:t>
      </w:r>
      <w:r w:rsidR="006445CC">
        <w:rPr>
          <w:lang w:val="en-GB"/>
        </w:rPr>
        <w:t xml:space="preserve">protection </w:t>
      </w:r>
      <w:r w:rsidR="00F46A7C">
        <w:rPr>
          <w:lang w:val="en-GB"/>
        </w:rPr>
        <w:t xml:space="preserve">referral </w:t>
      </w:r>
      <w:r w:rsidR="006445CC">
        <w:rPr>
          <w:lang w:val="en-GB"/>
        </w:rPr>
        <w:t>pathway</w:t>
      </w:r>
      <w:r w:rsidR="00F46A7C">
        <w:rPr>
          <w:lang w:val="en-GB"/>
        </w:rPr>
        <w:t xml:space="preserve"> mechanism is alrea</w:t>
      </w:r>
      <w:r w:rsidR="006445CC">
        <w:rPr>
          <w:lang w:val="en-GB"/>
        </w:rPr>
        <w:t>d</w:t>
      </w:r>
      <w:r w:rsidR="00F46A7C">
        <w:rPr>
          <w:lang w:val="en-GB"/>
        </w:rPr>
        <w:t>y established; in Kachin none yet exists which may further delay progress against this indicator</w:t>
      </w:r>
      <w:r w:rsidR="006445CC">
        <w:rPr>
          <w:lang w:val="en-GB"/>
        </w:rPr>
        <w:t>.</w:t>
      </w:r>
    </w:p>
    <w:p w:rsidR="00E34E90" w:rsidRPr="00CB412E" w:rsidRDefault="00E34E90" w:rsidP="007F1E53">
      <w:pPr>
        <w:pStyle w:val="PMRtextmaincontenttext"/>
        <w:ind w:right="216"/>
        <w:jc w:val="both"/>
        <w:rPr>
          <w:i/>
          <w:lang w:val="en-GB"/>
        </w:rPr>
      </w:pPr>
    </w:p>
    <w:p w:rsidR="007F1E53" w:rsidRPr="00CC2945" w:rsidRDefault="007F1E53" w:rsidP="00CC2945">
      <w:pPr>
        <w:pStyle w:val="PMRsub-heading"/>
        <w:spacing w:before="0"/>
        <w:rPr>
          <w:b/>
          <w:sz w:val="22"/>
        </w:rPr>
      </w:pPr>
      <w:r w:rsidRPr="00CC2945">
        <w:rPr>
          <w:b/>
          <w:sz w:val="22"/>
        </w:rPr>
        <w:t>Indicators: Targets vs. Results to date</w:t>
      </w:r>
    </w:p>
    <w:tbl>
      <w:tblPr>
        <w:tblStyle w:val="TableGrid"/>
        <w:tblpPr w:leftFromText="180" w:rightFromText="180" w:vertAnchor="text" w:horzAnchor="page" w:tblpX="960" w:tblpY="325"/>
        <w:tblW w:w="107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tblPr>
      <w:tblGrid>
        <w:gridCol w:w="5778"/>
        <w:gridCol w:w="1080"/>
        <w:gridCol w:w="990"/>
        <w:gridCol w:w="900"/>
        <w:gridCol w:w="1980"/>
      </w:tblGrid>
      <w:tr w:rsidR="007F1E53" w:rsidRPr="00B91087" w:rsidTr="00DF31F7">
        <w:trPr>
          <w:trHeight w:val="366"/>
        </w:trPr>
        <w:tc>
          <w:tcPr>
            <w:tcW w:w="5778" w:type="dxa"/>
            <w:tcBorders>
              <w:top w:val="nil"/>
              <w:left w:val="single" w:sz="4" w:space="0" w:color="D9D9D9" w:themeColor="background1" w:themeShade="D9"/>
              <w:bottom w:val="nil"/>
            </w:tcBorders>
            <w:shd w:val="clear" w:color="auto" w:fill="D9D9D9" w:themeFill="background1" w:themeFillShade="D9"/>
            <w:vAlign w:val="center"/>
          </w:tcPr>
          <w:p w:rsidR="007F1E53" w:rsidRPr="00E72168" w:rsidRDefault="007F1E53" w:rsidP="002F7CFD">
            <w:pPr>
              <w:spacing w:line="276" w:lineRule="auto"/>
              <w:rPr>
                <w:b/>
                <w:bCs/>
                <w:color w:val="026CB6"/>
                <w:lang w:val="en-GB"/>
              </w:rPr>
            </w:pPr>
            <w:r w:rsidRPr="00E72168">
              <w:rPr>
                <w:b/>
                <w:bCs/>
                <w:color w:val="026CB6"/>
                <w:lang w:val="en-GB"/>
              </w:rPr>
              <w:t>Indicator</w:t>
            </w:r>
          </w:p>
        </w:tc>
        <w:tc>
          <w:tcPr>
            <w:tcW w:w="1080" w:type="dxa"/>
            <w:tcBorders>
              <w:top w:val="nil"/>
              <w:bottom w:val="nil"/>
            </w:tcBorders>
            <w:shd w:val="clear" w:color="auto" w:fill="D9D9D9" w:themeFill="background1" w:themeFillShade="D9"/>
            <w:vAlign w:val="center"/>
          </w:tcPr>
          <w:p w:rsidR="007F1E53" w:rsidRPr="00E72168" w:rsidRDefault="007F1E53" w:rsidP="002F7CFD">
            <w:pPr>
              <w:jc w:val="center"/>
              <w:rPr>
                <w:b/>
                <w:bCs/>
                <w:color w:val="026CB6"/>
                <w:lang w:val="en-GB"/>
              </w:rPr>
            </w:pPr>
            <w:r>
              <w:rPr>
                <w:b/>
                <w:bCs/>
                <w:color w:val="026CB6"/>
                <w:lang w:val="en-GB"/>
              </w:rPr>
              <w:t>Baseline</w:t>
            </w:r>
          </w:p>
        </w:tc>
        <w:tc>
          <w:tcPr>
            <w:tcW w:w="990" w:type="dxa"/>
            <w:tcBorders>
              <w:top w:val="nil"/>
              <w:bottom w:val="nil"/>
            </w:tcBorders>
            <w:shd w:val="clear" w:color="auto" w:fill="D9D9D9" w:themeFill="background1" w:themeFillShade="D9"/>
            <w:vAlign w:val="center"/>
          </w:tcPr>
          <w:p w:rsidR="007F1E53" w:rsidRPr="00E72168" w:rsidRDefault="007F1E53" w:rsidP="002F7CFD">
            <w:pPr>
              <w:rPr>
                <w:b/>
                <w:bCs/>
                <w:color w:val="026CB6"/>
              </w:rPr>
            </w:pPr>
            <w:r w:rsidRPr="00E72168">
              <w:rPr>
                <w:b/>
                <w:bCs/>
                <w:color w:val="026CB6"/>
                <w:lang w:val="en-GB"/>
              </w:rPr>
              <w:t>Target</w:t>
            </w:r>
          </w:p>
        </w:tc>
        <w:tc>
          <w:tcPr>
            <w:tcW w:w="900" w:type="dxa"/>
            <w:tcBorders>
              <w:top w:val="nil"/>
              <w:bottom w:val="nil"/>
            </w:tcBorders>
            <w:shd w:val="clear" w:color="auto" w:fill="D9D9D9" w:themeFill="background1" w:themeFillShade="D9"/>
            <w:vAlign w:val="center"/>
          </w:tcPr>
          <w:p w:rsidR="007F1E53" w:rsidRPr="00E72168" w:rsidRDefault="007F1E53" w:rsidP="002F7CFD">
            <w:pPr>
              <w:rPr>
                <w:b/>
                <w:bCs/>
                <w:color w:val="026CB6"/>
              </w:rPr>
            </w:pPr>
            <w:r w:rsidRPr="00E72168">
              <w:rPr>
                <w:b/>
                <w:bCs/>
                <w:color w:val="026CB6"/>
                <w:lang w:val="en-GB"/>
              </w:rPr>
              <w:t xml:space="preserve">Result </w:t>
            </w:r>
          </w:p>
        </w:tc>
        <w:tc>
          <w:tcPr>
            <w:tcW w:w="1980" w:type="dxa"/>
            <w:tcBorders>
              <w:top w:val="nil"/>
              <w:bottom w:val="nil"/>
            </w:tcBorders>
            <w:shd w:val="clear" w:color="auto" w:fill="D9D9D9" w:themeFill="background1" w:themeFillShade="D9"/>
            <w:vAlign w:val="center"/>
          </w:tcPr>
          <w:p w:rsidR="007F1E53" w:rsidRPr="00E72168" w:rsidRDefault="007F1E53" w:rsidP="002F7CFD">
            <w:pPr>
              <w:rPr>
                <w:b/>
                <w:bCs/>
                <w:color w:val="026CB6"/>
                <w:lang w:val="en-GB"/>
              </w:rPr>
            </w:pPr>
            <w:r>
              <w:rPr>
                <w:b/>
                <w:bCs/>
                <w:color w:val="026CB6"/>
                <w:lang w:val="en-GB"/>
              </w:rPr>
              <w:t>Cluster/sector</w:t>
            </w:r>
          </w:p>
        </w:tc>
      </w:tr>
      <w:tr w:rsidR="007F1E53" w:rsidRPr="00B91087" w:rsidTr="00DF31F7">
        <w:trPr>
          <w:trHeight w:val="518"/>
        </w:trPr>
        <w:tc>
          <w:tcPr>
            <w:tcW w:w="57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844990" w:rsidRDefault="007F1E53" w:rsidP="002F7CFD">
            <w:pPr>
              <w:rPr>
                <w:rFonts w:eastAsia="PMingLiU"/>
                <w:szCs w:val="18"/>
                <w:lang w:eastAsia="zh-TW"/>
              </w:rPr>
            </w:pPr>
            <w:r w:rsidRPr="00CD1C10">
              <w:rPr>
                <w:rFonts w:eastAsia="PMingLiU"/>
                <w:szCs w:val="18"/>
                <w:lang w:eastAsia="zh-TW"/>
              </w:rPr>
              <w:t>%</w:t>
            </w:r>
            <w:r>
              <w:rPr>
                <w:rFonts w:eastAsia="PMingLiU"/>
                <w:szCs w:val="18"/>
                <w:lang w:eastAsia="zh-TW"/>
              </w:rPr>
              <w:t xml:space="preserve"> of</w:t>
            </w:r>
            <w:r w:rsidRPr="00CD1C10">
              <w:rPr>
                <w:rFonts w:eastAsia="PMingLiU"/>
                <w:szCs w:val="18"/>
                <w:lang w:eastAsia="zh-TW"/>
              </w:rPr>
              <w:t xml:space="preserve"> targeted schools and educati</w:t>
            </w:r>
            <w:r>
              <w:rPr>
                <w:rFonts w:eastAsia="PMingLiU"/>
                <w:szCs w:val="18"/>
                <w:lang w:eastAsia="zh-TW"/>
              </w:rPr>
              <w:t>on spaces which have established</w:t>
            </w:r>
            <w:r w:rsidRPr="00CD1C10">
              <w:rPr>
                <w:rFonts w:eastAsia="PMingLiU"/>
                <w:szCs w:val="18"/>
                <w:lang w:eastAsia="zh-TW"/>
              </w:rPr>
              <w:t xml:space="preserve"> functioning child protection and monitoring mechanisms (in close collaboration with the C</w:t>
            </w:r>
            <w:r>
              <w:rPr>
                <w:rFonts w:eastAsia="PMingLiU"/>
                <w:szCs w:val="18"/>
                <w:lang w:eastAsia="zh-TW"/>
              </w:rPr>
              <w:t xml:space="preserve">hild </w:t>
            </w:r>
            <w:r w:rsidRPr="00CD1C10">
              <w:rPr>
                <w:rFonts w:eastAsia="PMingLiU"/>
                <w:szCs w:val="18"/>
                <w:lang w:eastAsia="zh-TW"/>
              </w:rPr>
              <w:t>P</w:t>
            </w:r>
            <w:r>
              <w:rPr>
                <w:rFonts w:eastAsia="PMingLiU"/>
                <w:szCs w:val="18"/>
                <w:lang w:eastAsia="zh-TW"/>
              </w:rPr>
              <w:t>rotection</w:t>
            </w:r>
            <w:r w:rsidRPr="00CD1C10">
              <w:rPr>
                <w:rFonts w:eastAsia="PMingLiU"/>
                <w:szCs w:val="18"/>
                <w:lang w:eastAsia="zh-TW"/>
              </w:rPr>
              <w:t xml:space="preserve"> sector)</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E72168" w:rsidRDefault="00D37302"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DF31F7" w:rsidRDefault="00D37302" w:rsidP="002F7CFD">
            <w:pPr>
              <w:spacing w:line="276" w:lineRule="auto"/>
              <w:jc w:val="right"/>
              <w:rPr>
                <w:b/>
                <w:bCs/>
                <w:color w:val="808080" w:themeColor="background1" w:themeShade="80"/>
                <w:sz w:val="18"/>
                <w:szCs w:val="18"/>
                <w:lang w:val="en-GB"/>
              </w:rPr>
            </w:pPr>
            <w:r w:rsidRPr="00DF31F7">
              <w:rPr>
                <w:b/>
                <w:bCs/>
                <w:color w:val="808080" w:themeColor="background1" w:themeShade="80"/>
                <w:sz w:val="18"/>
                <w:szCs w:val="18"/>
                <w:lang w:val="en-GB"/>
              </w:rPr>
              <w:t>60% Kachin; 70% Rakhine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E72168" w:rsidRDefault="00D37302"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844990" w:rsidDel="008E3A66" w:rsidRDefault="007F1E53" w:rsidP="002F7CFD">
            <w:pPr>
              <w:jc w:val="center"/>
              <w:rPr>
                <w:rFonts w:eastAsia="PMingLiU"/>
                <w:szCs w:val="18"/>
                <w:lang w:eastAsia="zh-TW"/>
              </w:rPr>
            </w:pPr>
            <w:r>
              <w:rPr>
                <w:rFonts w:eastAsia="PMingLiU"/>
                <w:szCs w:val="18"/>
                <w:lang w:eastAsia="zh-TW"/>
              </w:rPr>
              <w:t>Education</w:t>
            </w:r>
            <w:r w:rsidRPr="00844990">
              <w:rPr>
                <w:rFonts w:eastAsia="PMingLiU"/>
                <w:szCs w:val="18"/>
                <w:lang w:eastAsia="zh-TW"/>
              </w:rPr>
              <w:t xml:space="preserve"> Sector</w:t>
            </w:r>
          </w:p>
        </w:tc>
      </w:tr>
    </w:tbl>
    <w:p w:rsidR="00CC2945" w:rsidRDefault="00CC2945" w:rsidP="00CC2945">
      <w:pPr>
        <w:pStyle w:val="PMRtextmaincontenttext"/>
        <w:ind w:right="216"/>
        <w:jc w:val="both"/>
        <w:rPr>
          <w:b/>
          <w:color w:val="000000" w:themeColor="text1"/>
          <w:sz w:val="24"/>
          <w:szCs w:val="20"/>
          <w:u w:val="single"/>
        </w:rPr>
      </w:pPr>
    </w:p>
    <w:p w:rsidR="007F1E53" w:rsidRPr="00CC2945" w:rsidRDefault="00CC2945" w:rsidP="00CC2945">
      <w:pPr>
        <w:pStyle w:val="PMRtextmaincontenttext"/>
        <w:ind w:right="216"/>
        <w:jc w:val="both"/>
        <w:rPr>
          <w:b/>
          <w:color w:val="000000" w:themeColor="text1"/>
          <w:sz w:val="24"/>
          <w:szCs w:val="20"/>
          <w:u w:val="single"/>
        </w:rPr>
      </w:pPr>
      <w:r w:rsidRPr="007F1E53">
        <w:rPr>
          <w:b/>
          <w:color w:val="000000" w:themeColor="text1"/>
          <w:sz w:val="24"/>
          <w:szCs w:val="20"/>
          <w:u w:val="single"/>
        </w:rPr>
        <w:t>Strategic Objectives</w:t>
      </w:r>
      <w:r>
        <w:rPr>
          <w:b/>
          <w:color w:val="000000" w:themeColor="text1"/>
          <w:sz w:val="24"/>
          <w:szCs w:val="20"/>
          <w:u w:val="single"/>
        </w:rPr>
        <w:t xml:space="preserve"> 4</w:t>
      </w:r>
      <w:r w:rsidRPr="007F1E53">
        <w:rPr>
          <w:b/>
          <w:color w:val="000000" w:themeColor="text1"/>
          <w:sz w:val="24"/>
          <w:szCs w:val="20"/>
          <w:u w:val="single"/>
        </w:rPr>
        <w:t xml:space="preserve">: </w:t>
      </w:r>
      <w:r>
        <w:rPr>
          <w:b/>
          <w:color w:val="000000" w:themeColor="text1"/>
          <w:sz w:val="24"/>
          <w:szCs w:val="20"/>
          <w:u w:val="single"/>
        </w:rPr>
        <w:t>Achievements to date</w:t>
      </w:r>
    </w:p>
    <w:tbl>
      <w:tblPr>
        <w:tblW w:w="10206" w:type="dxa"/>
        <w:tblCellMar>
          <w:top w:w="170" w:type="dxa"/>
          <w:left w:w="0" w:type="dxa"/>
          <w:bottom w:w="170" w:type="dxa"/>
          <w:right w:w="0" w:type="dxa"/>
        </w:tblCellMar>
        <w:tblLook w:val="04A0"/>
      </w:tblPr>
      <w:tblGrid>
        <w:gridCol w:w="10206"/>
      </w:tblGrid>
      <w:tr w:rsidR="007F1E53" w:rsidRPr="00114A43" w:rsidTr="002F7CFD">
        <w:tc>
          <w:tcPr>
            <w:tcW w:w="10206" w:type="dxa"/>
            <w:shd w:val="clear" w:color="auto" w:fill="F47932"/>
          </w:tcPr>
          <w:p w:rsidR="007F1E53" w:rsidRPr="00114A43" w:rsidRDefault="007F1E53" w:rsidP="002F7CFD">
            <w:pPr>
              <w:pStyle w:val="SRPwhitetitleinorangebox"/>
              <w:rPr>
                <w:u w:color="FFFFFF"/>
              </w:rPr>
            </w:pPr>
            <w:r w:rsidRPr="007F1E53">
              <w:rPr>
                <w:sz w:val="20"/>
                <w:u w:color="FFFFFF"/>
              </w:rPr>
              <w:t>Strategic objectiveS 4 :Strengthen preparedness and ensure response capacity is adequate to meet the needs of people newly affected by conflict, inter-communal violence or natural disasters throughout Myanmar</w:t>
            </w:r>
          </w:p>
        </w:tc>
      </w:tr>
    </w:tbl>
    <w:p w:rsidR="00DF31F7" w:rsidRDefault="00DF31F7" w:rsidP="00CC2945">
      <w:pPr>
        <w:pStyle w:val="PMRsub-heading"/>
        <w:spacing w:before="0"/>
        <w:rPr>
          <w:b/>
          <w:sz w:val="22"/>
        </w:rPr>
      </w:pPr>
    </w:p>
    <w:p w:rsidR="00CC2945" w:rsidRPr="00CC2945" w:rsidRDefault="00CC2945" w:rsidP="00CC2945">
      <w:pPr>
        <w:pStyle w:val="PMRsub-heading"/>
        <w:spacing w:before="0"/>
        <w:rPr>
          <w:b/>
          <w:sz w:val="22"/>
        </w:rPr>
      </w:pPr>
      <w:r w:rsidRPr="00CC2945">
        <w:rPr>
          <w:b/>
          <w:sz w:val="22"/>
        </w:rPr>
        <w:t>Progress toward Strategic Objective</w:t>
      </w:r>
    </w:p>
    <w:p w:rsidR="002F7CFD" w:rsidRPr="00FD0399" w:rsidRDefault="002F7CFD" w:rsidP="00CC2945">
      <w:pPr>
        <w:pStyle w:val="PMRtextmaincontenttext"/>
        <w:ind w:right="216"/>
        <w:jc w:val="both"/>
        <w:rPr>
          <w:lang w:val="en-GB"/>
        </w:rPr>
      </w:pPr>
      <w:r w:rsidRPr="002F7CFD">
        <w:rPr>
          <w:b/>
          <w:lang w:val="en-GB"/>
        </w:rPr>
        <w:t>Rakhine:</w:t>
      </w:r>
      <w:r w:rsidRPr="00FD0399">
        <w:rPr>
          <w:lang w:val="en-GB"/>
        </w:rPr>
        <w:t xml:space="preserve"> </w:t>
      </w:r>
      <w:r w:rsidRPr="00FD0399">
        <w:rPr>
          <w:szCs w:val="18"/>
        </w:rPr>
        <w:t>% of targeted school management committees/ PTAs in Rakhine which have developed plans for reducing risk to disaster for their communities (e.g. cyclone, flood and conflict)</w:t>
      </w:r>
      <w:r w:rsidR="00FD0399">
        <w:rPr>
          <w:szCs w:val="18"/>
        </w:rPr>
        <w:t xml:space="preserve"> (Target 70%)</w:t>
      </w:r>
    </w:p>
    <w:p w:rsidR="002F7CFD" w:rsidRDefault="002F7CFD" w:rsidP="00FD0399">
      <w:pPr>
        <w:pStyle w:val="PMRtextmaincontenttext"/>
        <w:ind w:left="720" w:right="216"/>
        <w:jc w:val="both"/>
        <w:rPr>
          <w:lang w:val="en-GB"/>
        </w:rPr>
      </w:pPr>
      <w:r>
        <w:rPr>
          <w:lang w:val="en-GB"/>
        </w:rPr>
        <w:t>Progress has been made in the establishment of P</w:t>
      </w:r>
      <w:r w:rsidR="005D4290">
        <w:rPr>
          <w:lang w:val="en-GB"/>
        </w:rPr>
        <w:t xml:space="preserve">arent </w:t>
      </w:r>
      <w:r>
        <w:rPr>
          <w:lang w:val="en-GB"/>
        </w:rPr>
        <w:t>T</w:t>
      </w:r>
      <w:r w:rsidR="005D4290">
        <w:rPr>
          <w:lang w:val="en-GB"/>
        </w:rPr>
        <w:t xml:space="preserve">eacher </w:t>
      </w:r>
      <w:r>
        <w:rPr>
          <w:lang w:val="en-GB"/>
        </w:rPr>
        <w:t>A</w:t>
      </w:r>
      <w:r w:rsidR="005D4290">
        <w:rPr>
          <w:lang w:val="en-GB"/>
        </w:rPr>
        <w:t>ssociations (PTA</w:t>
      </w:r>
      <w:r>
        <w:rPr>
          <w:lang w:val="en-GB"/>
        </w:rPr>
        <w:t>s</w:t>
      </w:r>
      <w:r w:rsidR="005D4290">
        <w:rPr>
          <w:lang w:val="en-GB"/>
        </w:rPr>
        <w:t>)</w:t>
      </w:r>
      <w:r>
        <w:rPr>
          <w:lang w:val="en-GB"/>
        </w:rPr>
        <w:t xml:space="preserve"> in the IDP camps of Rakhine (</w:t>
      </w:r>
      <w:r w:rsidR="00EB0E44">
        <w:rPr>
          <w:lang w:val="en-GB"/>
        </w:rPr>
        <w:t>30</w:t>
      </w:r>
      <w:r>
        <w:rPr>
          <w:lang w:val="en-GB"/>
        </w:rPr>
        <w:t xml:space="preserve"> </w:t>
      </w:r>
      <w:r w:rsidR="005D4290">
        <w:rPr>
          <w:lang w:val="en-GB"/>
        </w:rPr>
        <w:t xml:space="preserve">PTAs comprising </w:t>
      </w:r>
      <w:r w:rsidR="00EB0E44">
        <w:rPr>
          <w:lang w:val="en-GB"/>
        </w:rPr>
        <w:t>303</w:t>
      </w:r>
      <w:r w:rsidR="005D4290">
        <w:rPr>
          <w:lang w:val="en-GB"/>
        </w:rPr>
        <w:t xml:space="preserve"> parents </w:t>
      </w:r>
      <w:r>
        <w:rPr>
          <w:lang w:val="en-GB"/>
        </w:rPr>
        <w:t>have been set up</w:t>
      </w:r>
      <w:r w:rsidR="005D4290">
        <w:rPr>
          <w:lang w:val="en-GB"/>
        </w:rPr>
        <w:t xml:space="preserve"> so far</w:t>
      </w:r>
      <w:r>
        <w:rPr>
          <w:lang w:val="en-GB"/>
        </w:rPr>
        <w:t xml:space="preserve">, </w:t>
      </w:r>
      <w:r w:rsidR="005D4290">
        <w:rPr>
          <w:lang w:val="en-GB"/>
        </w:rPr>
        <w:t xml:space="preserve">and </w:t>
      </w:r>
      <w:r>
        <w:rPr>
          <w:lang w:val="en-GB"/>
        </w:rPr>
        <w:t>trained and meet regularly) and they play an important role in the management of the education facilities in their current communities. However, initiatives to involve these groups i</w:t>
      </w:r>
      <w:r w:rsidR="00FD0399">
        <w:rPr>
          <w:lang w:val="en-GB"/>
        </w:rPr>
        <w:t xml:space="preserve">n the development of community </w:t>
      </w:r>
      <w:r w:rsidR="005D4290">
        <w:rPr>
          <w:lang w:val="en-GB"/>
        </w:rPr>
        <w:t>disaster risk reduction (</w:t>
      </w:r>
      <w:r w:rsidR="00FD0399">
        <w:rPr>
          <w:lang w:val="en-GB"/>
        </w:rPr>
        <w:t>D</w:t>
      </w:r>
      <w:r>
        <w:rPr>
          <w:lang w:val="en-GB"/>
        </w:rPr>
        <w:t>RR</w:t>
      </w:r>
      <w:r w:rsidR="005D4290">
        <w:rPr>
          <w:lang w:val="en-GB"/>
        </w:rPr>
        <w:t>)</w:t>
      </w:r>
      <w:r>
        <w:rPr>
          <w:lang w:val="en-GB"/>
        </w:rPr>
        <w:t xml:space="preserve"> plans have not yet started</w:t>
      </w:r>
      <w:r w:rsidR="0057387C">
        <w:rPr>
          <w:lang w:val="en-GB"/>
        </w:rPr>
        <w:t xml:space="preserve"> due to the prioritization of other core activities during the time of reduced access</w:t>
      </w:r>
      <w:r>
        <w:rPr>
          <w:lang w:val="en-GB"/>
        </w:rPr>
        <w:t xml:space="preserve">, but attempts to do so (or </w:t>
      </w:r>
      <w:r w:rsidR="00FD0399">
        <w:rPr>
          <w:lang w:val="en-GB"/>
        </w:rPr>
        <w:t xml:space="preserve">similar </w:t>
      </w:r>
      <w:r w:rsidR="005D4290">
        <w:rPr>
          <w:lang w:val="en-GB"/>
        </w:rPr>
        <w:t>initiatives</w:t>
      </w:r>
      <w:r w:rsidR="00FD0399">
        <w:rPr>
          <w:lang w:val="en-GB"/>
        </w:rPr>
        <w:t xml:space="preserve"> involving parents and students in DRR </w:t>
      </w:r>
      <w:r w:rsidR="005D4290">
        <w:rPr>
          <w:lang w:val="en-GB"/>
        </w:rPr>
        <w:t>activities</w:t>
      </w:r>
      <w:r>
        <w:rPr>
          <w:lang w:val="en-GB"/>
        </w:rPr>
        <w:t xml:space="preserve">) will be increased in the latter half of the year. </w:t>
      </w:r>
    </w:p>
    <w:p w:rsidR="002F7CFD" w:rsidRPr="002F7CFD" w:rsidRDefault="002F7CFD" w:rsidP="00CC2945">
      <w:pPr>
        <w:pStyle w:val="PMRtextmaincontenttext"/>
        <w:ind w:right="216"/>
        <w:jc w:val="both"/>
        <w:rPr>
          <w:lang w:val="en-GB"/>
        </w:rPr>
      </w:pPr>
    </w:p>
    <w:p w:rsidR="00CC2945" w:rsidRPr="00CC2945" w:rsidRDefault="00CC2945" w:rsidP="00CC2945">
      <w:pPr>
        <w:pStyle w:val="PMRsub-heading"/>
        <w:spacing w:before="0"/>
      </w:pPr>
      <w:r w:rsidRPr="00CC2945">
        <w:rPr>
          <w:b/>
          <w:sz w:val="22"/>
        </w:rPr>
        <w:t>Indicators: Targets vs. Results to date</w:t>
      </w:r>
    </w:p>
    <w:tbl>
      <w:tblPr>
        <w:tblStyle w:val="TableGrid"/>
        <w:tblpPr w:leftFromText="180" w:rightFromText="180" w:vertAnchor="text" w:horzAnchor="page" w:tblpX="960" w:tblpY="325"/>
        <w:tblW w:w="107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tblPr>
      <w:tblGrid>
        <w:gridCol w:w="5868"/>
        <w:gridCol w:w="1080"/>
        <w:gridCol w:w="828"/>
        <w:gridCol w:w="882"/>
        <w:gridCol w:w="2070"/>
      </w:tblGrid>
      <w:tr w:rsidR="007F1E53" w:rsidRPr="00B91087" w:rsidTr="002F7CFD">
        <w:trPr>
          <w:trHeight w:val="366"/>
        </w:trPr>
        <w:tc>
          <w:tcPr>
            <w:tcW w:w="5868" w:type="dxa"/>
            <w:tcBorders>
              <w:top w:val="nil"/>
              <w:left w:val="single" w:sz="4" w:space="0" w:color="D9D9D9" w:themeColor="background1" w:themeShade="D9"/>
              <w:bottom w:val="nil"/>
            </w:tcBorders>
            <w:shd w:val="clear" w:color="auto" w:fill="D9D9D9" w:themeFill="background1" w:themeFillShade="D9"/>
            <w:vAlign w:val="center"/>
          </w:tcPr>
          <w:p w:rsidR="007F1E53" w:rsidRPr="00E72168" w:rsidRDefault="007F1E53" w:rsidP="002F7CFD">
            <w:pPr>
              <w:spacing w:line="276" w:lineRule="auto"/>
              <w:rPr>
                <w:b/>
                <w:bCs/>
                <w:color w:val="026CB6"/>
                <w:lang w:val="en-GB"/>
              </w:rPr>
            </w:pPr>
            <w:r w:rsidRPr="00E72168">
              <w:rPr>
                <w:b/>
                <w:bCs/>
                <w:color w:val="026CB6"/>
                <w:lang w:val="en-GB"/>
              </w:rPr>
              <w:t>Indicator</w:t>
            </w:r>
          </w:p>
        </w:tc>
        <w:tc>
          <w:tcPr>
            <w:tcW w:w="1080" w:type="dxa"/>
            <w:tcBorders>
              <w:top w:val="nil"/>
              <w:bottom w:val="nil"/>
            </w:tcBorders>
            <w:shd w:val="clear" w:color="auto" w:fill="D9D9D9" w:themeFill="background1" w:themeFillShade="D9"/>
            <w:vAlign w:val="center"/>
          </w:tcPr>
          <w:p w:rsidR="007F1E53" w:rsidRPr="00E72168" w:rsidRDefault="007F1E53" w:rsidP="002F7CFD">
            <w:pPr>
              <w:jc w:val="center"/>
              <w:rPr>
                <w:b/>
                <w:bCs/>
                <w:color w:val="026CB6"/>
                <w:lang w:val="en-GB"/>
              </w:rPr>
            </w:pPr>
            <w:r>
              <w:rPr>
                <w:b/>
                <w:bCs/>
                <w:color w:val="026CB6"/>
                <w:lang w:val="en-GB"/>
              </w:rPr>
              <w:t>Baseline</w:t>
            </w:r>
          </w:p>
        </w:tc>
        <w:tc>
          <w:tcPr>
            <w:tcW w:w="828" w:type="dxa"/>
            <w:tcBorders>
              <w:top w:val="nil"/>
              <w:bottom w:val="nil"/>
            </w:tcBorders>
            <w:shd w:val="clear" w:color="auto" w:fill="D9D9D9" w:themeFill="background1" w:themeFillShade="D9"/>
            <w:vAlign w:val="center"/>
          </w:tcPr>
          <w:p w:rsidR="007F1E53" w:rsidRPr="00E72168" w:rsidRDefault="007F1E53" w:rsidP="002F7CFD">
            <w:pPr>
              <w:rPr>
                <w:b/>
                <w:bCs/>
                <w:color w:val="026CB6"/>
              </w:rPr>
            </w:pPr>
            <w:r w:rsidRPr="00E72168">
              <w:rPr>
                <w:b/>
                <w:bCs/>
                <w:color w:val="026CB6"/>
                <w:lang w:val="en-GB"/>
              </w:rPr>
              <w:t>Target</w:t>
            </w:r>
          </w:p>
        </w:tc>
        <w:tc>
          <w:tcPr>
            <w:tcW w:w="882" w:type="dxa"/>
            <w:tcBorders>
              <w:top w:val="nil"/>
              <w:bottom w:val="nil"/>
            </w:tcBorders>
            <w:shd w:val="clear" w:color="auto" w:fill="D9D9D9" w:themeFill="background1" w:themeFillShade="D9"/>
            <w:vAlign w:val="center"/>
          </w:tcPr>
          <w:p w:rsidR="007F1E53" w:rsidRPr="00E72168" w:rsidRDefault="007F1E53" w:rsidP="002F7CFD">
            <w:pPr>
              <w:rPr>
                <w:b/>
                <w:bCs/>
                <w:color w:val="026CB6"/>
              </w:rPr>
            </w:pPr>
            <w:r w:rsidRPr="00E72168">
              <w:rPr>
                <w:b/>
                <w:bCs/>
                <w:color w:val="026CB6"/>
                <w:lang w:val="en-GB"/>
              </w:rPr>
              <w:t xml:space="preserve">Result </w:t>
            </w:r>
          </w:p>
        </w:tc>
        <w:tc>
          <w:tcPr>
            <w:tcW w:w="2070" w:type="dxa"/>
            <w:tcBorders>
              <w:top w:val="nil"/>
              <w:bottom w:val="nil"/>
            </w:tcBorders>
            <w:shd w:val="clear" w:color="auto" w:fill="D9D9D9" w:themeFill="background1" w:themeFillShade="D9"/>
            <w:vAlign w:val="center"/>
          </w:tcPr>
          <w:p w:rsidR="007F1E53" w:rsidRPr="00E72168" w:rsidRDefault="007F1E53" w:rsidP="002F7CFD">
            <w:pPr>
              <w:rPr>
                <w:b/>
                <w:bCs/>
                <w:color w:val="026CB6"/>
                <w:lang w:val="en-GB"/>
              </w:rPr>
            </w:pPr>
            <w:r>
              <w:rPr>
                <w:b/>
                <w:bCs/>
                <w:color w:val="026CB6"/>
                <w:lang w:val="en-GB"/>
              </w:rPr>
              <w:t>Cluster/sector</w:t>
            </w:r>
          </w:p>
        </w:tc>
      </w:tr>
      <w:tr w:rsidR="007F1E53" w:rsidRPr="00B91087" w:rsidTr="002F7CFD">
        <w:trPr>
          <w:trHeight w:val="392"/>
        </w:trPr>
        <w:tc>
          <w:tcPr>
            <w:tcW w:w="58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2F7CFD" w:rsidRDefault="007F1E53" w:rsidP="002F7CFD">
            <w:pPr>
              <w:rPr>
                <w:b/>
                <w:szCs w:val="18"/>
              </w:rPr>
            </w:pPr>
            <w:r w:rsidRPr="002F7CFD">
              <w:rPr>
                <w:b/>
                <w:szCs w:val="18"/>
              </w:rPr>
              <w:t>% of targeted school management committees/ PTAs in Rakhine which have developed plans for reducing risk to disaster for their communities (e.g. cyclone, flood and conflict)</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E72168" w:rsidRDefault="00FD0399"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E72168" w:rsidRDefault="00FD0399" w:rsidP="002F7CFD">
            <w:pPr>
              <w:spacing w:line="276" w:lineRule="auto"/>
              <w:jc w:val="right"/>
              <w:rPr>
                <w:b/>
                <w:bCs/>
                <w:color w:val="808080" w:themeColor="background1" w:themeShade="80"/>
                <w:lang w:val="en-GB"/>
              </w:rPr>
            </w:pPr>
            <w:r>
              <w:rPr>
                <w:b/>
                <w:bCs/>
                <w:color w:val="808080" w:themeColor="background1" w:themeShade="80"/>
                <w:lang w:val="en-GB"/>
              </w:rPr>
              <w:t>70%</w:t>
            </w:r>
          </w:p>
        </w:tc>
        <w:tc>
          <w:tcPr>
            <w:tcW w:w="8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E72168" w:rsidRDefault="00FD0399" w:rsidP="002F7CFD">
            <w:pPr>
              <w:spacing w:line="276" w:lineRule="auto"/>
              <w:jc w:val="right"/>
              <w:rPr>
                <w:b/>
                <w:bCs/>
                <w:color w:val="808080" w:themeColor="background1" w:themeShade="80"/>
                <w:lang w:val="en-GB"/>
              </w:rPr>
            </w:pPr>
            <w:r>
              <w:rPr>
                <w:b/>
                <w:bCs/>
                <w:color w:val="808080" w:themeColor="background1" w:themeShade="80"/>
                <w:lang w:val="en-GB"/>
              </w:rPr>
              <w:t>0</w:t>
            </w:r>
          </w:p>
        </w:tc>
        <w:tc>
          <w:tcPr>
            <w:tcW w:w="2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7F1E53" w:rsidRPr="00CD1C10" w:rsidRDefault="007F1E53" w:rsidP="007F1E53">
            <w:pPr>
              <w:jc w:val="center"/>
              <w:rPr>
                <w:szCs w:val="18"/>
              </w:rPr>
            </w:pPr>
            <w:r>
              <w:rPr>
                <w:szCs w:val="18"/>
              </w:rPr>
              <w:t>Education Sector</w:t>
            </w:r>
          </w:p>
        </w:tc>
      </w:tr>
    </w:tbl>
    <w:p w:rsidR="007F1E53" w:rsidRDefault="007F1E53" w:rsidP="007F1E53"/>
    <w:p w:rsidR="00CB412E" w:rsidRDefault="00CB412E" w:rsidP="00AE3070">
      <w:pPr>
        <w:pStyle w:val="PMRtextmaincontenttext"/>
        <w:ind w:right="216"/>
        <w:jc w:val="both"/>
        <w:rPr>
          <w:b/>
          <w:color w:val="000000" w:themeColor="text1"/>
          <w:sz w:val="24"/>
          <w:szCs w:val="20"/>
          <w:u w:val="single"/>
        </w:rPr>
      </w:pPr>
    </w:p>
    <w:p w:rsidR="00DF31F7" w:rsidRDefault="00DF31F7" w:rsidP="00AE3070">
      <w:pPr>
        <w:pStyle w:val="PMRtextmaincontenttext"/>
        <w:ind w:right="216"/>
        <w:jc w:val="both"/>
        <w:rPr>
          <w:b/>
          <w:color w:val="000000" w:themeColor="text1"/>
          <w:sz w:val="24"/>
          <w:szCs w:val="20"/>
          <w:u w:val="single"/>
        </w:rPr>
      </w:pPr>
    </w:p>
    <w:p w:rsidR="00AE3070" w:rsidRDefault="00AE3070" w:rsidP="00AE3070">
      <w:pPr>
        <w:pStyle w:val="PMRtextmaincontenttext"/>
        <w:ind w:right="216"/>
        <w:jc w:val="both"/>
        <w:rPr>
          <w:b/>
          <w:color w:val="000000" w:themeColor="text1"/>
          <w:sz w:val="24"/>
          <w:szCs w:val="20"/>
          <w:u w:val="single"/>
        </w:rPr>
      </w:pPr>
      <w:r>
        <w:rPr>
          <w:b/>
          <w:color w:val="000000" w:themeColor="text1"/>
          <w:sz w:val="24"/>
          <w:szCs w:val="20"/>
          <w:u w:val="single"/>
        </w:rPr>
        <w:t>Population In Need/Targeted Reached</w:t>
      </w:r>
    </w:p>
    <w:p w:rsidR="00AE3070" w:rsidRPr="00AE3070" w:rsidRDefault="00AE3070" w:rsidP="00AE3070">
      <w:pPr>
        <w:pStyle w:val="PMRtextmaincontenttext"/>
        <w:ind w:right="216"/>
        <w:jc w:val="both"/>
      </w:pPr>
      <w:r w:rsidRPr="00AE3070">
        <w:t>Please complete the table below for your sector/cluster.  Use an estimated aggregate to indicate the population reached by the activities of your sector/cluster.</w:t>
      </w:r>
    </w:p>
    <w:tbl>
      <w:tblPr>
        <w:tblStyle w:val="TableGrid"/>
        <w:tblpPr w:leftFromText="180" w:rightFromText="180" w:vertAnchor="text" w:horzAnchor="margin" w:tblpY="89"/>
        <w:tblW w:w="105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tblPr>
      <w:tblGrid>
        <w:gridCol w:w="2268"/>
        <w:gridCol w:w="1440"/>
        <w:gridCol w:w="1350"/>
        <w:gridCol w:w="1350"/>
        <w:gridCol w:w="1350"/>
        <w:gridCol w:w="1350"/>
        <w:gridCol w:w="1440"/>
      </w:tblGrid>
      <w:tr w:rsidR="0004401F" w:rsidRPr="00B91087" w:rsidTr="0004401F">
        <w:trPr>
          <w:trHeight w:val="366"/>
        </w:trPr>
        <w:tc>
          <w:tcPr>
            <w:tcW w:w="2268" w:type="dxa"/>
            <w:vMerge w:val="restart"/>
            <w:tcBorders>
              <w:top w:val="nil"/>
              <w:left w:val="single" w:sz="4" w:space="0" w:color="D9D9D9" w:themeColor="background1" w:themeShade="D9"/>
            </w:tcBorders>
            <w:shd w:val="clear" w:color="auto" w:fill="D9D9D9" w:themeFill="background1" w:themeFillShade="D9"/>
            <w:vAlign w:val="center"/>
          </w:tcPr>
          <w:p w:rsidR="0004401F" w:rsidRPr="00E72168" w:rsidRDefault="0004401F" w:rsidP="0004401F">
            <w:pPr>
              <w:spacing w:line="276" w:lineRule="auto"/>
              <w:rPr>
                <w:b/>
                <w:bCs/>
                <w:color w:val="026CB6"/>
                <w:lang w:val="en-GB"/>
              </w:rPr>
            </w:pPr>
            <w:r>
              <w:rPr>
                <w:b/>
                <w:bCs/>
                <w:color w:val="026CB6"/>
                <w:lang w:val="en-GB"/>
              </w:rPr>
              <w:t>Sector/Cluster</w:t>
            </w:r>
          </w:p>
        </w:tc>
        <w:tc>
          <w:tcPr>
            <w:tcW w:w="2790" w:type="dxa"/>
            <w:gridSpan w:val="2"/>
            <w:tcBorders>
              <w:top w:val="nil"/>
              <w:bottom w:val="nil"/>
            </w:tcBorders>
            <w:shd w:val="clear" w:color="auto" w:fill="D9D9D9" w:themeFill="background1" w:themeFillShade="D9"/>
            <w:vAlign w:val="center"/>
          </w:tcPr>
          <w:p w:rsidR="0004401F" w:rsidRPr="00E72168" w:rsidRDefault="0004401F" w:rsidP="0004401F">
            <w:pPr>
              <w:jc w:val="center"/>
              <w:rPr>
                <w:b/>
                <w:bCs/>
                <w:color w:val="026CB6"/>
              </w:rPr>
            </w:pPr>
            <w:r>
              <w:rPr>
                <w:b/>
                <w:bCs/>
                <w:color w:val="026CB6"/>
                <w:lang w:val="en-GB"/>
              </w:rPr>
              <w:t>In Need</w:t>
            </w:r>
          </w:p>
        </w:tc>
        <w:tc>
          <w:tcPr>
            <w:tcW w:w="2700" w:type="dxa"/>
            <w:gridSpan w:val="2"/>
            <w:tcBorders>
              <w:top w:val="nil"/>
              <w:bottom w:val="nil"/>
            </w:tcBorders>
            <w:shd w:val="clear" w:color="auto" w:fill="D9D9D9" w:themeFill="background1" w:themeFillShade="D9"/>
            <w:vAlign w:val="center"/>
          </w:tcPr>
          <w:p w:rsidR="0004401F" w:rsidRDefault="0004401F" w:rsidP="0004401F">
            <w:pPr>
              <w:jc w:val="center"/>
              <w:rPr>
                <w:b/>
                <w:bCs/>
                <w:color w:val="026CB6"/>
                <w:lang w:val="en-GB"/>
              </w:rPr>
            </w:pPr>
            <w:r w:rsidRPr="00E72168">
              <w:rPr>
                <w:b/>
                <w:bCs/>
                <w:color w:val="026CB6"/>
                <w:lang w:val="en-GB"/>
              </w:rPr>
              <w:t>Target</w:t>
            </w:r>
            <w:r>
              <w:rPr>
                <w:b/>
                <w:bCs/>
                <w:color w:val="026CB6"/>
                <w:lang w:val="en-GB"/>
              </w:rPr>
              <w:t>ed</w:t>
            </w:r>
          </w:p>
        </w:tc>
        <w:tc>
          <w:tcPr>
            <w:tcW w:w="2790" w:type="dxa"/>
            <w:gridSpan w:val="2"/>
            <w:tcBorders>
              <w:top w:val="nil"/>
              <w:bottom w:val="nil"/>
            </w:tcBorders>
            <w:shd w:val="clear" w:color="auto" w:fill="D9D9D9" w:themeFill="background1" w:themeFillShade="D9"/>
            <w:vAlign w:val="center"/>
          </w:tcPr>
          <w:p w:rsidR="0004401F" w:rsidRDefault="0004401F" w:rsidP="0004401F">
            <w:pPr>
              <w:jc w:val="center"/>
              <w:rPr>
                <w:b/>
                <w:bCs/>
                <w:color w:val="026CB6"/>
                <w:lang w:val="en-GB"/>
              </w:rPr>
            </w:pPr>
            <w:r>
              <w:rPr>
                <w:b/>
                <w:bCs/>
                <w:color w:val="026CB6"/>
                <w:lang w:val="en-GB"/>
              </w:rPr>
              <w:t>Reached</w:t>
            </w:r>
          </w:p>
        </w:tc>
      </w:tr>
      <w:tr w:rsidR="0004401F" w:rsidRPr="00B91087" w:rsidTr="0004401F">
        <w:trPr>
          <w:trHeight w:val="366"/>
        </w:trPr>
        <w:tc>
          <w:tcPr>
            <w:tcW w:w="2268" w:type="dxa"/>
            <w:vMerge/>
            <w:tcBorders>
              <w:left w:val="single" w:sz="4" w:space="0" w:color="D9D9D9" w:themeColor="background1" w:themeShade="D9"/>
              <w:bottom w:val="nil"/>
            </w:tcBorders>
            <w:shd w:val="clear" w:color="auto" w:fill="D9D9D9" w:themeFill="background1" w:themeFillShade="D9"/>
            <w:vAlign w:val="center"/>
          </w:tcPr>
          <w:p w:rsidR="0004401F" w:rsidRDefault="0004401F" w:rsidP="0004401F">
            <w:pPr>
              <w:spacing w:line="276" w:lineRule="auto"/>
              <w:rPr>
                <w:b/>
                <w:bCs/>
                <w:color w:val="026CB6"/>
                <w:lang w:val="en-GB"/>
              </w:rPr>
            </w:pPr>
          </w:p>
        </w:tc>
        <w:tc>
          <w:tcPr>
            <w:tcW w:w="1440" w:type="dxa"/>
            <w:tcBorders>
              <w:top w:val="nil"/>
              <w:bottom w:val="nil"/>
            </w:tcBorders>
            <w:shd w:val="clear" w:color="auto" w:fill="D9D9D9" w:themeFill="background1" w:themeFillShade="D9"/>
            <w:vAlign w:val="center"/>
          </w:tcPr>
          <w:p w:rsidR="0004401F" w:rsidRDefault="0004401F" w:rsidP="0004401F">
            <w:pPr>
              <w:jc w:val="center"/>
              <w:rPr>
                <w:b/>
                <w:bCs/>
                <w:color w:val="026CB6"/>
                <w:lang w:val="en-GB"/>
              </w:rPr>
            </w:pPr>
            <w:r>
              <w:rPr>
                <w:b/>
                <w:bCs/>
                <w:color w:val="026CB6"/>
                <w:lang w:val="en-GB"/>
              </w:rPr>
              <w:t>Kachin</w:t>
            </w:r>
          </w:p>
        </w:tc>
        <w:tc>
          <w:tcPr>
            <w:tcW w:w="1350" w:type="dxa"/>
            <w:tcBorders>
              <w:top w:val="nil"/>
              <w:bottom w:val="nil"/>
            </w:tcBorders>
            <w:shd w:val="clear" w:color="auto" w:fill="D9D9D9" w:themeFill="background1" w:themeFillShade="D9"/>
            <w:vAlign w:val="center"/>
          </w:tcPr>
          <w:p w:rsidR="0004401F" w:rsidRPr="00E72168" w:rsidRDefault="0004401F" w:rsidP="0004401F">
            <w:pPr>
              <w:jc w:val="center"/>
              <w:rPr>
                <w:b/>
                <w:bCs/>
                <w:color w:val="026CB6"/>
                <w:lang w:val="en-GB"/>
              </w:rPr>
            </w:pPr>
            <w:r>
              <w:rPr>
                <w:b/>
                <w:bCs/>
                <w:color w:val="026CB6"/>
                <w:lang w:val="en-GB"/>
              </w:rPr>
              <w:t>Rakhine</w:t>
            </w:r>
          </w:p>
        </w:tc>
        <w:tc>
          <w:tcPr>
            <w:tcW w:w="1350" w:type="dxa"/>
            <w:tcBorders>
              <w:top w:val="nil"/>
              <w:bottom w:val="nil"/>
            </w:tcBorders>
            <w:shd w:val="clear" w:color="auto" w:fill="D9D9D9" w:themeFill="background1" w:themeFillShade="D9"/>
            <w:vAlign w:val="center"/>
          </w:tcPr>
          <w:p w:rsidR="0004401F" w:rsidRDefault="0004401F" w:rsidP="0004401F">
            <w:pPr>
              <w:jc w:val="center"/>
              <w:rPr>
                <w:b/>
                <w:bCs/>
                <w:color w:val="026CB6"/>
                <w:lang w:val="en-GB"/>
              </w:rPr>
            </w:pPr>
            <w:r>
              <w:rPr>
                <w:b/>
                <w:bCs/>
                <w:color w:val="026CB6"/>
                <w:lang w:val="en-GB"/>
              </w:rPr>
              <w:t>Kachin</w:t>
            </w:r>
          </w:p>
        </w:tc>
        <w:tc>
          <w:tcPr>
            <w:tcW w:w="1350" w:type="dxa"/>
            <w:tcBorders>
              <w:top w:val="nil"/>
              <w:bottom w:val="nil"/>
            </w:tcBorders>
            <w:shd w:val="clear" w:color="auto" w:fill="D9D9D9" w:themeFill="background1" w:themeFillShade="D9"/>
            <w:vAlign w:val="center"/>
          </w:tcPr>
          <w:p w:rsidR="0004401F" w:rsidRPr="00E72168" w:rsidRDefault="0004401F" w:rsidP="0004401F">
            <w:pPr>
              <w:jc w:val="center"/>
              <w:rPr>
                <w:b/>
                <w:bCs/>
                <w:color w:val="026CB6"/>
                <w:lang w:val="en-GB"/>
              </w:rPr>
            </w:pPr>
            <w:r>
              <w:rPr>
                <w:b/>
                <w:bCs/>
                <w:color w:val="026CB6"/>
                <w:lang w:val="en-GB"/>
              </w:rPr>
              <w:t>Rakhine</w:t>
            </w:r>
          </w:p>
        </w:tc>
        <w:tc>
          <w:tcPr>
            <w:tcW w:w="1350" w:type="dxa"/>
            <w:tcBorders>
              <w:top w:val="nil"/>
              <w:bottom w:val="nil"/>
            </w:tcBorders>
            <w:shd w:val="clear" w:color="auto" w:fill="D9D9D9" w:themeFill="background1" w:themeFillShade="D9"/>
            <w:vAlign w:val="center"/>
          </w:tcPr>
          <w:p w:rsidR="0004401F" w:rsidRDefault="0004401F" w:rsidP="0004401F">
            <w:pPr>
              <w:jc w:val="center"/>
              <w:rPr>
                <w:b/>
                <w:bCs/>
                <w:color w:val="026CB6"/>
                <w:lang w:val="en-GB"/>
              </w:rPr>
            </w:pPr>
            <w:r>
              <w:rPr>
                <w:b/>
                <w:bCs/>
                <w:color w:val="026CB6"/>
                <w:lang w:val="en-GB"/>
              </w:rPr>
              <w:t>Kachin</w:t>
            </w:r>
          </w:p>
        </w:tc>
        <w:tc>
          <w:tcPr>
            <w:tcW w:w="1440" w:type="dxa"/>
            <w:tcBorders>
              <w:top w:val="nil"/>
              <w:bottom w:val="nil"/>
            </w:tcBorders>
            <w:shd w:val="clear" w:color="auto" w:fill="D9D9D9" w:themeFill="background1" w:themeFillShade="D9"/>
            <w:vAlign w:val="center"/>
          </w:tcPr>
          <w:p w:rsidR="0004401F" w:rsidRPr="00E72168" w:rsidRDefault="0004401F" w:rsidP="0004401F">
            <w:pPr>
              <w:jc w:val="center"/>
              <w:rPr>
                <w:b/>
                <w:bCs/>
                <w:color w:val="026CB6"/>
                <w:lang w:val="en-GB"/>
              </w:rPr>
            </w:pPr>
            <w:r>
              <w:rPr>
                <w:b/>
                <w:bCs/>
                <w:color w:val="026CB6"/>
                <w:lang w:val="en-GB"/>
              </w:rPr>
              <w:t>Rakhine</w:t>
            </w:r>
          </w:p>
        </w:tc>
      </w:tr>
      <w:tr w:rsidR="0004401F" w:rsidRPr="00B91087" w:rsidTr="0004401F">
        <w:trPr>
          <w:trHeight w:val="392"/>
        </w:trPr>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4401F" w:rsidRPr="0004401F" w:rsidRDefault="0004401F" w:rsidP="0004401F">
            <w:pPr>
              <w:spacing w:line="276" w:lineRule="auto"/>
              <w:rPr>
                <w:b/>
                <w:bCs/>
                <w:color w:val="808080" w:themeColor="background1" w:themeShade="80"/>
                <w:lang w:val="en-GB"/>
              </w:rPr>
            </w:pPr>
            <w:r w:rsidRPr="0004401F">
              <w:rPr>
                <w:b/>
                <w:bCs/>
                <w:color w:val="808080" w:themeColor="background1" w:themeShade="80"/>
                <w:lang w:val="en-GB"/>
              </w:rPr>
              <w:t>Education</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4401F" w:rsidRPr="00E72168" w:rsidRDefault="0004401F" w:rsidP="0004401F">
            <w:pPr>
              <w:spacing w:line="276" w:lineRule="auto"/>
              <w:jc w:val="right"/>
              <w:rPr>
                <w:b/>
                <w:bCs/>
                <w:color w:val="808080" w:themeColor="background1" w:themeShade="80"/>
                <w:lang w:val="en-GB"/>
              </w:rPr>
            </w:pPr>
            <w:r>
              <w:rPr>
                <w:b/>
                <w:bCs/>
                <w:color w:val="808080" w:themeColor="background1" w:themeShade="80"/>
                <w:lang w:val="en-GB"/>
              </w:rPr>
              <w:t>56,000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4401F" w:rsidRPr="00E72168" w:rsidRDefault="0004401F" w:rsidP="0004401F">
            <w:pPr>
              <w:spacing w:line="276" w:lineRule="auto"/>
              <w:jc w:val="right"/>
              <w:rPr>
                <w:b/>
                <w:bCs/>
                <w:color w:val="808080" w:themeColor="background1" w:themeShade="80"/>
                <w:lang w:val="en-GB"/>
              </w:rPr>
            </w:pPr>
            <w:r>
              <w:rPr>
                <w:b/>
                <w:bCs/>
                <w:color w:val="808080" w:themeColor="background1" w:themeShade="80"/>
                <w:lang w:val="en-GB"/>
              </w:rPr>
              <w:t>156,000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4401F" w:rsidRPr="00E40DEC" w:rsidRDefault="0004401F" w:rsidP="0004401F">
            <w:pPr>
              <w:spacing w:line="276" w:lineRule="auto"/>
              <w:jc w:val="center"/>
              <w:rPr>
                <w:b/>
                <w:bCs/>
                <w:color w:val="808080" w:themeColor="background1" w:themeShade="80"/>
                <w:lang w:val="en-GB"/>
              </w:rPr>
            </w:pPr>
            <w:r w:rsidRPr="00E40DEC">
              <w:rPr>
                <w:b/>
                <w:bCs/>
                <w:color w:val="808080" w:themeColor="background1" w:themeShade="80"/>
                <w:lang w:val="en-GB"/>
              </w:rPr>
              <w:t>39,000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04401F" w:rsidRPr="00E40DEC" w:rsidRDefault="0004401F" w:rsidP="0004401F">
            <w:pPr>
              <w:spacing w:line="276" w:lineRule="auto"/>
              <w:jc w:val="center"/>
              <w:rPr>
                <w:b/>
                <w:bCs/>
                <w:color w:val="808080" w:themeColor="background1" w:themeShade="80"/>
                <w:lang w:val="en-GB"/>
              </w:rPr>
            </w:pPr>
            <w:r w:rsidRPr="00E40DEC">
              <w:rPr>
                <w:b/>
                <w:bCs/>
                <w:color w:val="808080" w:themeColor="background1" w:themeShade="80"/>
                <w:lang w:val="en-GB"/>
              </w:rPr>
              <w:t>76,000</w:t>
            </w:r>
          </w:p>
        </w:tc>
        <w:tc>
          <w:tcPr>
            <w:tcW w:w="1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4401F" w:rsidRPr="00E72168" w:rsidRDefault="00F004A2" w:rsidP="0004401F">
            <w:pPr>
              <w:spacing w:line="276" w:lineRule="auto"/>
              <w:jc w:val="right"/>
              <w:rPr>
                <w:b/>
                <w:bCs/>
                <w:color w:val="808080" w:themeColor="background1" w:themeShade="80"/>
                <w:lang w:val="en-GB"/>
              </w:rPr>
            </w:pPr>
            <w:r>
              <w:rPr>
                <w:b/>
                <w:bCs/>
                <w:color w:val="808080" w:themeColor="background1" w:themeShade="80"/>
                <w:lang w:val="en-GB"/>
              </w:rPr>
              <w:t>*Est. 12,000</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4401F" w:rsidRPr="00E72168" w:rsidRDefault="00F004A2" w:rsidP="0004401F">
            <w:pPr>
              <w:spacing w:line="276" w:lineRule="auto"/>
              <w:jc w:val="right"/>
              <w:rPr>
                <w:b/>
                <w:bCs/>
                <w:color w:val="808080" w:themeColor="background1" w:themeShade="80"/>
                <w:lang w:val="en-GB"/>
              </w:rPr>
            </w:pPr>
            <w:r>
              <w:rPr>
                <w:b/>
                <w:bCs/>
                <w:color w:val="808080" w:themeColor="background1" w:themeShade="80"/>
                <w:lang w:val="en-GB"/>
              </w:rPr>
              <w:t>35,896</w:t>
            </w:r>
          </w:p>
        </w:tc>
      </w:tr>
    </w:tbl>
    <w:p w:rsidR="007F1E53" w:rsidRDefault="007F1E53" w:rsidP="007F1E53"/>
    <w:p w:rsidR="00E40DEC" w:rsidRDefault="00BB5A05">
      <w:r w:rsidRPr="00BB5A05">
        <w:rPr>
          <w:i/>
          <w:szCs w:val="18"/>
          <w:lang w:val="en-GB"/>
        </w:rPr>
        <w:t>*</w:t>
      </w:r>
      <w:r>
        <w:rPr>
          <w:i/>
          <w:szCs w:val="18"/>
          <w:lang w:val="en-GB"/>
        </w:rPr>
        <w:t xml:space="preserve"> The</w:t>
      </w:r>
      <w:r w:rsidR="00F004A2" w:rsidRPr="00BB5A05">
        <w:rPr>
          <w:i/>
          <w:szCs w:val="18"/>
          <w:lang w:val="en-GB"/>
        </w:rPr>
        <w:t xml:space="preserve"> reach figure </w:t>
      </w:r>
      <w:r>
        <w:rPr>
          <w:i/>
          <w:szCs w:val="18"/>
          <w:lang w:val="en-GB"/>
        </w:rPr>
        <w:t>for</w:t>
      </w:r>
      <w:r w:rsidRPr="00BB5A05">
        <w:rPr>
          <w:i/>
          <w:szCs w:val="18"/>
          <w:lang w:val="en-GB"/>
        </w:rPr>
        <w:t xml:space="preserve"> Kachin </w:t>
      </w:r>
      <w:r>
        <w:rPr>
          <w:i/>
          <w:szCs w:val="18"/>
          <w:lang w:val="en-GB"/>
        </w:rPr>
        <w:t>is estimated; d</w:t>
      </w:r>
      <w:r w:rsidR="00F004A2" w:rsidRPr="00BB5A05">
        <w:rPr>
          <w:i/>
          <w:szCs w:val="18"/>
          <w:lang w:val="en-GB"/>
        </w:rPr>
        <w:t>ata from Kachin remains scarce and this figure is based on known proposals + UNICEF reach figure. In GCA the majority of support for IDPs is provided by the Government, much of which is not closely monitored.</w:t>
      </w:r>
    </w:p>
    <w:sectPr w:rsidR="00E40DEC" w:rsidSect="00C74ED6">
      <w:headerReference w:type="default" r:id="rId8"/>
      <w:footerReference w:type="default" r:id="rId9"/>
      <w:pgSz w:w="12240" w:h="15840"/>
      <w:pgMar w:top="898" w:right="1152" w:bottom="1080" w:left="1152" w:header="54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21155" w15:done="0"/>
  <w15:commentEx w15:paraId="10766DFA" w15:done="0"/>
  <w15:commentEx w15:paraId="41C08D90" w15:done="0"/>
  <w15:commentEx w15:paraId="717F7DF0" w15:done="0"/>
  <w15:commentEx w15:paraId="3680B27D" w15:done="0"/>
  <w15:commentEx w15:paraId="312F0583" w15:done="0"/>
  <w15:commentEx w15:paraId="430F469D" w15:done="0"/>
  <w15:commentEx w15:paraId="3C14DA90" w15:done="0"/>
  <w15:commentEx w15:paraId="4AEEE1B1" w15:done="0"/>
  <w15:commentEx w15:paraId="44F18991" w15:done="0"/>
  <w15:commentEx w15:paraId="59AE6FEF" w15:done="0"/>
  <w15:commentEx w15:paraId="2E2F75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2F" w:rsidRDefault="004E312F" w:rsidP="00C74ED6">
      <w:r>
        <w:separator/>
      </w:r>
    </w:p>
  </w:endnote>
  <w:endnote w:type="continuationSeparator" w:id="0">
    <w:p w:rsidR="004E312F" w:rsidRDefault="004E312F" w:rsidP="00C74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47707"/>
      <w:docPartObj>
        <w:docPartGallery w:val="Page Numbers (Bottom of Page)"/>
        <w:docPartUnique/>
      </w:docPartObj>
    </w:sdtPr>
    <w:sdtEndPr>
      <w:rPr>
        <w:b/>
        <w:sz w:val="24"/>
        <w:szCs w:val="24"/>
      </w:rPr>
    </w:sdtEndPr>
    <w:sdtContent>
      <w:p w:rsidR="00DF31F7" w:rsidRDefault="00DF31F7">
        <w:pPr>
          <w:pStyle w:val="Footer"/>
          <w:jc w:val="right"/>
        </w:pPr>
        <w:r w:rsidRPr="00DF31F7">
          <w:rPr>
            <w:rFonts w:asciiTheme="minorHAnsi" w:hAnsiTheme="minorHAnsi" w:cstheme="minorHAnsi"/>
            <w:sz w:val="18"/>
            <w:szCs w:val="18"/>
          </w:rPr>
          <w:t xml:space="preserve">Page </w:t>
        </w:r>
        <w:r w:rsidRPr="00DF31F7">
          <w:rPr>
            <w:rFonts w:asciiTheme="minorHAnsi" w:hAnsiTheme="minorHAnsi" w:cstheme="minorHAnsi"/>
            <w:b/>
            <w:sz w:val="18"/>
            <w:szCs w:val="18"/>
          </w:rPr>
          <w:fldChar w:fldCharType="begin"/>
        </w:r>
        <w:r w:rsidRPr="00DF31F7">
          <w:rPr>
            <w:rFonts w:asciiTheme="minorHAnsi" w:hAnsiTheme="minorHAnsi" w:cstheme="minorHAnsi"/>
            <w:b/>
            <w:sz w:val="18"/>
            <w:szCs w:val="18"/>
          </w:rPr>
          <w:instrText xml:space="preserve"> PAGE </w:instrText>
        </w:r>
        <w:r w:rsidRPr="00DF31F7">
          <w:rPr>
            <w:rFonts w:asciiTheme="minorHAnsi" w:hAnsiTheme="minorHAnsi" w:cstheme="minorHAnsi"/>
            <w:b/>
            <w:sz w:val="18"/>
            <w:szCs w:val="18"/>
          </w:rPr>
          <w:fldChar w:fldCharType="separate"/>
        </w:r>
        <w:r>
          <w:rPr>
            <w:rFonts w:asciiTheme="minorHAnsi" w:hAnsiTheme="minorHAnsi" w:cstheme="minorHAnsi"/>
            <w:b/>
            <w:noProof/>
            <w:sz w:val="18"/>
            <w:szCs w:val="18"/>
          </w:rPr>
          <w:t>6</w:t>
        </w:r>
        <w:r w:rsidRPr="00DF31F7">
          <w:rPr>
            <w:rFonts w:asciiTheme="minorHAnsi" w:hAnsiTheme="minorHAnsi" w:cstheme="minorHAnsi"/>
            <w:b/>
            <w:sz w:val="18"/>
            <w:szCs w:val="18"/>
          </w:rPr>
          <w:fldChar w:fldCharType="end"/>
        </w:r>
        <w:r w:rsidRPr="00DF31F7">
          <w:rPr>
            <w:rFonts w:asciiTheme="minorHAnsi" w:hAnsiTheme="minorHAnsi" w:cstheme="minorHAnsi"/>
            <w:sz w:val="18"/>
            <w:szCs w:val="18"/>
          </w:rPr>
          <w:t xml:space="preserve"> of </w:t>
        </w:r>
        <w:r w:rsidRPr="00DF31F7">
          <w:rPr>
            <w:rFonts w:asciiTheme="minorHAnsi" w:hAnsiTheme="minorHAnsi" w:cstheme="minorHAnsi"/>
            <w:b/>
            <w:sz w:val="18"/>
            <w:szCs w:val="18"/>
          </w:rPr>
          <w:fldChar w:fldCharType="begin"/>
        </w:r>
        <w:r w:rsidRPr="00DF31F7">
          <w:rPr>
            <w:rFonts w:asciiTheme="minorHAnsi" w:hAnsiTheme="minorHAnsi" w:cstheme="minorHAnsi"/>
            <w:b/>
            <w:sz w:val="18"/>
            <w:szCs w:val="18"/>
          </w:rPr>
          <w:instrText xml:space="preserve"> NUMPAGES  </w:instrText>
        </w:r>
        <w:r w:rsidRPr="00DF31F7">
          <w:rPr>
            <w:rFonts w:asciiTheme="minorHAnsi" w:hAnsiTheme="minorHAnsi" w:cstheme="minorHAnsi"/>
            <w:b/>
            <w:sz w:val="18"/>
            <w:szCs w:val="18"/>
          </w:rPr>
          <w:fldChar w:fldCharType="separate"/>
        </w:r>
        <w:r>
          <w:rPr>
            <w:rFonts w:asciiTheme="minorHAnsi" w:hAnsiTheme="minorHAnsi" w:cstheme="minorHAnsi"/>
            <w:b/>
            <w:noProof/>
            <w:sz w:val="18"/>
            <w:szCs w:val="18"/>
          </w:rPr>
          <w:t>6</w:t>
        </w:r>
        <w:r w:rsidRPr="00DF31F7">
          <w:rPr>
            <w:rFonts w:asciiTheme="minorHAnsi" w:hAnsiTheme="minorHAnsi" w:cstheme="minorHAnsi"/>
            <w:b/>
            <w:sz w:val="18"/>
            <w:szCs w:val="18"/>
          </w:rPr>
          <w:fldChar w:fldCharType="end"/>
        </w:r>
        <w:r>
          <w:rPr>
            <w:color w:val="auto"/>
          </w:rPr>
        </w:r>
      </w:p>
    </w:sdtContent>
  </w:sdt>
  <w:p w:rsidR="00DF31F7" w:rsidRDefault="00DF3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2F" w:rsidRDefault="004E312F" w:rsidP="00C74ED6">
      <w:r>
        <w:separator/>
      </w:r>
    </w:p>
  </w:footnote>
  <w:footnote w:type="continuationSeparator" w:id="0">
    <w:p w:rsidR="004E312F" w:rsidRDefault="004E312F" w:rsidP="00C74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D6" w:rsidRPr="00C74ED6" w:rsidRDefault="00C74ED6" w:rsidP="00C74ED6">
    <w:pPr>
      <w:pStyle w:val="Header"/>
      <w:jc w:val="right"/>
      <w:rPr>
        <w:sz w:val="16"/>
        <w:szCs w:val="16"/>
      </w:rPr>
    </w:pPr>
    <w:r w:rsidRPr="00C74ED6">
      <w:rPr>
        <w:sz w:val="16"/>
        <w:szCs w:val="16"/>
      </w:rPr>
      <w:t xml:space="preserve">EiE SRP </w:t>
    </w:r>
    <w:r>
      <w:rPr>
        <w:sz w:val="16"/>
        <w:szCs w:val="16"/>
      </w:rPr>
      <w:t xml:space="preserve">PMR </w:t>
    </w:r>
    <w:r w:rsidR="00DF31F7">
      <w:rPr>
        <w:sz w:val="16"/>
        <w:szCs w:val="16"/>
      </w:rPr>
      <w:t>– 28</w:t>
    </w:r>
    <w:r w:rsidRPr="00C74ED6">
      <w:rPr>
        <w:sz w:val="16"/>
        <w:szCs w:val="16"/>
      </w:rPr>
      <w:t xml:space="preserve"> July 2014</w:t>
    </w:r>
    <w:r>
      <w:rPr>
        <w:sz w:val="16"/>
        <w:szCs w:val="16"/>
      </w:rPr>
      <w:t xml:space="preserve"> (</w:t>
    </w:r>
    <w:r w:rsidRPr="00C74ED6">
      <w:rPr>
        <w:sz w:val="16"/>
        <w:szCs w:val="16"/>
      </w:rPr>
      <w:t xml:space="preserve">v. </w:t>
    </w:r>
    <w:r w:rsidR="00DF31F7">
      <w:rPr>
        <w:sz w:val="16"/>
        <w:szCs w:val="16"/>
      </w:rPr>
      <w:t>7</w:t>
    </w:r>
    <w:r>
      <w:rPr>
        <w:sz w:val="16"/>
        <w:szCs w:val="16"/>
      </w:rPr>
      <w:t>)</w:t>
    </w:r>
    <w:r w:rsidRPr="00C74ED6">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1AC"/>
    <w:multiLevelType w:val="hybridMultilevel"/>
    <w:tmpl w:val="5634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85488"/>
    <w:multiLevelType w:val="hybridMultilevel"/>
    <w:tmpl w:val="3D22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850D0"/>
    <w:multiLevelType w:val="hybridMultilevel"/>
    <w:tmpl w:val="03C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E2D18"/>
    <w:multiLevelType w:val="hybridMultilevel"/>
    <w:tmpl w:val="6C880158"/>
    <w:lvl w:ilvl="0" w:tplc="FED25D7C">
      <w:start w:val="1"/>
      <w:numFmt w:val="decimal"/>
      <w:pStyle w:val="PMRsub-headlist"/>
      <w:lvlText w:val="%1 "/>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
    <w:nsid w:val="702750B0"/>
    <w:multiLevelType w:val="hybridMultilevel"/>
    <w:tmpl w:val="84D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Laure Rambaud">
    <w15:presenceInfo w15:providerId="AD" w15:userId="S-1-5-21-889838981-920820592-1903951286-6827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8BB"/>
    <w:rsid w:val="00003E82"/>
    <w:rsid w:val="0004401F"/>
    <w:rsid w:val="00060B7D"/>
    <w:rsid w:val="000671C7"/>
    <w:rsid w:val="000753E7"/>
    <w:rsid w:val="000828AE"/>
    <w:rsid w:val="00092867"/>
    <w:rsid w:val="00097264"/>
    <w:rsid w:val="00097549"/>
    <w:rsid w:val="000A44F2"/>
    <w:rsid w:val="000B1D7F"/>
    <w:rsid w:val="000B6831"/>
    <w:rsid w:val="000C0A13"/>
    <w:rsid w:val="000F2332"/>
    <w:rsid w:val="00101BB6"/>
    <w:rsid w:val="0013386D"/>
    <w:rsid w:val="0013742E"/>
    <w:rsid w:val="00140E3B"/>
    <w:rsid w:val="00171D74"/>
    <w:rsid w:val="001867C5"/>
    <w:rsid w:val="0019475D"/>
    <w:rsid w:val="001B392C"/>
    <w:rsid w:val="001D5DF5"/>
    <w:rsid w:val="001F5E5E"/>
    <w:rsid w:val="0021244A"/>
    <w:rsid w:val="002338B2"/>
    <w:rsid w:val="0024309E"/>
    <w:rsid w:val="00255E2F"/>
    <w:rsid w:val="00257972"/>
    <w:rsid w:val="002B22A2"/>
    <w:rsid w:val="002D4CA1"/>
    <w:rsid w:val="002F02E9"/>
    <w:rsid w:val="002F7CFD"/>
    <w:rsid w:val="002F7F94"/>
    <w:rsid w:val="00312B36"/>
    <w:rsid w:val="00313C0E"/>
    <w:rsid w:val="003437D8"/>
    <w:rsid w:val="00370A51"/>
    <w:rsid w:val="00376A6A"/>
    <w:rsid w:val="00397277"/>
    <w:rsid w:val="003A1B08"/>
    <w:rsid w:val="003B3C9C"/>
    <w:rsid w:val="00403CB4"/>
    <w:rsid w:val="00455605"/>
    <w:rsid w:val="00465157"/>
    <w:rsid w:val="004B74FB"/>
    <w:rsid w:val="004E312F"/>
    <w:rsid w:val="005334D4"/>
    <w:rsid w:val="0057387C"/>
    <w:rsid w:val="005A0A24"/>
    <w:rsid w:val="005B304F"/>
    <w:rsid w:val="005B3817"/>
    <w:rsid w:val="005D4290"/>
    <w:rsid w:val="005D567E"/>
    <w:rsid w:val="005D7FE8"/>
    <w:rsid w:val="005F1ADD"/>
    <w:rsid w:val="006341BC"/>
    <w:rsid w:val="00640EA0"/>
    <w:rsid w:val="00642021"/>
    <w:rsid w:val="006426B6"/>
    <w:rsid w:val="006445CC"/>
    <w:rsid w:val="006822EE"/>
    <w:rsid w:val="00682B67"/>
    <w:rsid w:val="00685D82"/>
    <w:rsid w:val="006C5B25"/>
    <w:rsid w:val="006C7903"/>
    <w:rsid w:val="006E2E4C"/>
    <w:rsid w:val="007278CE"/>
    <w:rsid w:val="007A2A39"/>
    <w:rsid w:val="007C1B65"/>
    <w:rsid w:val="007C5338"/>
    <w:rsid w:val="007F1E53"/>
    <w:rsid w:val="007F27BD"/>
    <w:rsid w:val="00800468"/>
    <w:rsid w:val="00861E04"/>
    <w:rsid w:val="00896FC1"/>
    <w:rsid w:val="008D22AC"/>
    <w:rsid w:val="008E6011"/>
    <w:rsid w:val="008F6E91"/>
    <w:rsid w:val="009018A0"/>
    <w:rsid w:val="009104A2"/>
    <w:rsid w:val="009128BB"/>
    <w:rsid w:val="009204A3"/>
    <w:rsid w:val="00981EBC"/>
    <w:rsid w:val="0098696B"/>
    <w:rsid w:val="00997568"/>
    <w:rsid w:val="009A55CF"/>
    <w:rsid w:val="009F16E8"/>
    <w:rsid w:val="00A22AD2"/>
    <w:rsid w:val="00A46F9A"/>
    <w:rsid w:val="00A54685"/>
    <w:rsid w:val="00A83221"/>
    <w:rsid w:val="00AE3070"/>
    <w:rsid w:val="00AE4537"/>
    <w:rsid w:val="00B41AD7"/>
    <w:rsid w:val="00BA11A4"/>
    <w:rsid w:val="00BA54E6"/>
    <w:rsid w:val="00BB5A05"/>
    <w:rsid w:val="00BC19B2"/>
    <w:rsid w:val="00BD512D"/>
    <w:rsid w:val="00BE215C"/>
    <w:rsid w:val="00C37D89"/>
    <w:rsid w:val="00C47F5D"/>
    <w:rsid w:val="00C60337"/>
    <w:rsid w:val="00C64AF9"/>
    <w:rsid w:val="00C73A44"/>
    <w:rsid w:val="00C74ED6"/>
    <w:rsid w:val="00C76B4C"/>
    <w:rsid w:val="00C94869"/>
    <w:rsid w:val="00CA2CEB"/>
    <w:rsid w:val="00CB412E"/>
    <w:rsid w:val="00CC2945"/>
    <w:rsid w:val="00D04174"/>
    <w:rsid w:val="00D37302"/>
    <w:rsid w:val="00D575E6"/>
    <w:rsid w:val="00D57AEC"/>
    <w:rsid w:val="00D82970"/>
    <w:rsid w:val="00DA55B0"/>
    <w:rsid w:val="00DB30A1"/>
    <w:rsid w:val="00DD64AB"/>
    <w:rsid w:val="00DF31F7"/>
    <w:rsid w:val="00E22C6A"/>
    <w:rsid w:val="00E23499"/>
    <w:rsid w:val="00E34E90"/>
    <w:rsid w:val="00E40382"/>
    <w:rsid w:val="00E40DEC"/>
    <w:rsid w:val="00E45A1D"/>
    <w:rsid w:val="00E460D9"/>
    <w:rsid w:val="00E514E4"/>
    <w:rsid w:val="00E52844"/>
    <w:rsid w:val="00E578B5"/>
    <w:rsid w:val="00E92376"/>
    <w:rsid w:val="00EB0E44"/>
    <w:rsid w:val="00ED2D42"/>
    <w:rsid w:val="00F004A2"/>
    <w:rsid w:val="00F329D8"/>
    <w:rsid w:val="00F46A7C"/>
    <w:rsid w:val="00F560EC"/>
    <w:rsid w:val="00F578B0"/>
    <w:rsid w:val="00F63C23"/>
    <w:rsid w:val="00F74690"/>
    <w:rsid w:val="00F841A8"/>
    <w:rsid w:val="00FB210E"/>
    <w:rsid w:val="00FD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28BB"/>
    <w:pPr>
      <w:spacing w:after="0" w:line="240" w:lineRule="auto"/>
    </w:pPr>
    <w:rPr>
      <w:rFonts w:ascii="Arial" w:hAnsi="Arial"/>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RSectionheading">
    <w:name w:val="PMR Section heading"/>
    <w:next w:val="Normal"/>
    <w:qFormat/>
    <w:rsid w:val="009128BB"/>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9128BB"/>
    <w:pPr>
      <w:spacing w:after="120" w:line="240" w:lineRule="auto"/>
    </w:pPr>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9128BB"/>
    <w:pPr>
      <w:spacing w:before="240" w:after="120" w:line="240" w:lineRule="auto"/>
    </w:pPr>
    <w:rPr>
      <w:rFonts w:ascii="Arial" w:eastAsia="PMingLiU" w:hAnsi="Arial" w:cs="Times New Roman"/>
      <w:color w:val="026CB6"/>
      <w:sz w:val="24"/>
      <w:szCs w:val="20"/>
      <w:lang w:eastAsia="zh-TW"/>
    </w:rPr>
  </w:style>
  <w:style w:type="paragraph" w:customStyle="1" w:styleId="PMRsub-headlist">
    <w:name w:val="PMR sub-head list"/>
    <w:basedOn w:val="PMRsub-heading"/>
    <w:next w:val="PMRtextmaincontenttext"/>
    <w:link w:val="PMRsub-headlistChar"/>
    <w:rsid w:val="009128BB"/>
    <w:pPr>
      <w:numPr>
        <w:numId w:val="1"/>
      </w:numPr>
    </w:pPr>
  </w:style>
  <w:style w:type="character" w:customStyle="1" w:styleId="PMRsub-headingChar">
    <w:name w:val="PMR sub-heading Char"/>
    <w:basedOn w:val="DefaultParagraphFont"/>
    <w:link w:val="PMRsub-heading"/>
    <w:rsid w:val="009128BB"/>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9128BB"/>
    <w:rPr>
      <w:rFonts w:ascii="Arial" w:eastAsia="PMingLiU" w:hAnsi="Arial" w:cs="Times New Roman"/>
      <w:color w:val="026CB6"/>
      <w:sz w:val="24"/>
      <w:szCs w:val="20"/>
      <w:lang w:eastAsia="zh-TW"/>
    </w:rPr>
  </w:style>
  <w:style w:type="paragraph" w:customStyle="1" w:styleId="PMROverviewsubhead">
    <w:name w:val="PMR Overview subhead"/>
    <w:basedOn w:val="PMRsub-headlist"/>
    <w:link w:val="PMROverviewsubheadChar"/>
    <w:qFormat/>
    <w:rsid w:val="009128BB"/>
    <w:pPr>
      <w:numPr>
        <w:numId w:val="0"/>
      </w:numPr>
      <w:jc w:val="both"/>
    </w:pPr>
    <w:rPr>
      <w:b/>
    </w:rPr>
  </w:style>
  <w:style w:type="character" w:customStyle="1" w:styleId="PMROverviewsubheadChar">
    <w:name w:val="PMR Overview subhead Char"/>
    <w:basedOn w:val="PMRsub-headlistChar"/>
    <w:link w:val="PMROverviewsubhead"/>
    <w:rsid w:val="009128BB"/>
    <w:rPr>
      <w:rFonts w:ascii="Arial" w:eastAsia="PMingLiU" w:hAnsi="Arial" w:cs="Times New Roman"/>
      <w:b/>
      <w:color w:val="026CB6"/>
      <w:sz w:val="24"/>
      <w:szCs w:val="20"/>
      <w:lang w:eastAsia="zh-TW"/>
    </w:rPr>
  </w:style>
  <w:style w:type="table" w:styleId="TableGrid">
    <w:name w:val="Table Grid"/>
    <w:basedOn w:val="TableNormal"/>
    <w:uiPriority w:val="59"/>
    <w:rsid w:val="00912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HNO table figure title"/>
    <w:basedOn w:val="Normal"/>
    <w:next w:val="Normal"/>
    <w:uiPriority w:val="35"/>
    <w:unhideWhenUsed/>
    <w:rsid w:val="009128BB"/>
    <w:pPr>
      <w:pBdr>
        <w:top w:val="single" w:sz="2" w:space="20" w:color="0099C6"/>
      </w:pBdr>
      <w:spacing w:before="400" w:after="200"/>
    </w:pPr>
    <w:rPr>
      <w:b/>
      <w:bCs/>
      <w:color w:val="000000" w:themeColor="text1"/>
      <w:szCs w:val="18"/>
    </w:rPr>
  </w:style>
  <w:style w:type="table" w:customStyle="1" w:styleId="HNOtipstable">
    <w:name w:val="HNO tips table"/>
    <w:basedOn w:val="TableNormal"/>
    <w:uiPriority w:val="99"/>
    <w:rsid w:val="009128BB"/>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PMRStrategicObjectiveHead">
    <w:name w:val="PMR Strategic Objective Head"/>
    <w:basedOn w:val="Normal"/>
    <w:link w:val="PMRStrategicObjectiveHeadChar"/>
    <w:qFormat/>
    <w:rsid w:val="009128BB"/>
    <w:pPr>
      <w:ind w:left="170" w:right="170"/>
    </w:pPr>
    <w:rPr>
      <w:b/>
      <w:color w:val="026CB6"/>
      <w:lang w:val="en-GB"/>
    </w:rPr>
  </w:style>
  <w:style w:type="character" w:customStyle="1" w:styleId="PMRStrategicObjectiveHeadChar">
    <w:name w:val="PMR Strategic Objective Head Char"/>
    <w:basedOn w:val="DefaultParagraphFont"/>
    <w:link w:val="PMRStrategicObjectiveHead"/>
    <w:rsid w:val="009128BB"/>
    <w:rPr>
      <w:rFonts w:ascii="Arial" w:hAnsi="Arial"/>
      <w:b/>
      <w:color w:val="026CB6"/>
      <w:sz w:val="20"/>
      <w:lang w:val="en-GB"/>
    </w:rPr>
  </w:style>
  <w:style w:type="paragraph" w:customStyle="1" w:styleId="PMRStatusOnTrack">
    <w:name w:val="PMR Status On Track"/>
    <w:basedOn w:val="Normal"/>
    <w:link w:val="PMRStatusOnTrackChar"/>
    <w:qFormat/>
    <w:rsid w:val="009128BB"/>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9128BB"/>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9128BB"/>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9128BB"/>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9128BB"/>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9128BB"/>
    <w:rPr>
      <w:rFonts w:ascii="Arial" w:hAnsi="Arial"/>
      <w:b/>
      <w:color w:val="FFFFFF" w:themeColor="background1"/>
      <w:sz w:val="19"/>
      <w:szCs w:val="19"/>
      <w:shd w:val="clear" w:color="auto" w:fill="FF0000"/>
      <w:lang w:val="en-GB"/>
    </w:rPr>
  </w:style>
  <w:style w:type="paragraph" w:customStyle="1" w:styleId="SRPtextmaincontenttext">
    <w:name w:val="SRP text (main content text)"/>
    <w:qFormat/>
    <w:rsid w:val="002D4CA1"/>
    <w:pPr>
      <w:spacing w:after="120" w:line="240" w:lineRule="auto"/>
    </w:pPr>
    <w:rPr>
      <w:rFonts w:ascii="Arial" w:eastAsia="PMingLiU" w:hAnsi="Arial" w:cs="Times New Roman"/>
      <w:color w:val="404040"/>
      <w:sz w:val="20"/>
      <w:szCs w:val="24"/>
      <w:lang w:val="en-GB" w:eastAsia="zh-TW"/>
    </w:rPr>
  </w:style>
  <w:style w:type="paragraph" w:styleId="ListParagraph">
    <w:name w:val="List Paragraph"/>
    <w:basedOn w:val="Normal"/>
    <w:link w:val="ListParagraphChar"/>
    <w:uiPriority w:val="34"/>
    <w:qFormat/>
    <w:rsid w:val="002D4CA1"/>
    <w:pPr>
      <w:ind w:left="720"/>
      <w:contextualSpacing/>
    </w:pPr>
    <w:rPr>
      <w:rFonts w:eastAsia="Calibri" w:cs="Times New Roman"/>
    </w:rPr>
  </w:style>
  <w:style w:type="character" w:customStyle="1" w:styleId="ListParagraphChar">
    <w:name w:val="List Paragraph Char"/>
    <w:basedOn w:val="DefaultParagraphFont"/>
    <w:link w:val="ListParagraph"/>
    <w:uiPriority w:val="34"/>
    <w:rsid w:val="002D4CA1"/>
    <w:rPr>
      <w:rFonts w:ascii="Arial" w:eastAsia="Calibri" w:hAnsi="Arial" w:cs="Times New Roman"/>
      <w:color w:val="404040"/>
      <w:sz w:val="20"/>
    </w:rPr>
  </w:style>
  <w:style w:type="paragraph" w:customStyle="1" w:styleId="SRPclusterlogframesub-headings">
    <w:name w:val="SRP cluster logframe sub-headings"/>
    <w:basedOn w:val="Normal"/>
    <w:link w:val="SRPclusterlogframesub-headingsChar"/>
    <w:rsid w:val="002D4CA1"/>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2D4CA1"/>
    <w:rPr>
      <w:rFonts w:ascii="Arial" w:eastAsia="PMingLiU" w:hAnsi="Arial" w:cs="Times New Roman"/>
      <w:b/>
      <w:color w:val="026CB6"/>
      <w:szCs w:val="20"/>
      <w:lang w:eastAsia="zh-TW"/>
    </w:rPr>
  </w:style>
  <w:style w:type="paragraph" w:styleId="NoSpacing">
    <w:name w:val="No Spacing"/>
    <w:uiPriority w:val="1"/>
    <w:qFormat/>
    <w:rsid w:val="000753E7"/>
    <w:pPr>
      <w:spacing w:after="0" w:line="240" w:lineRule="auto"/>
    </w:pPr>
    <w:rPr>
      <w:rFonts w:ascii="Calibri" w:eastAsia="Calibri" w:hAnsi="Calibri" w:cs="Times New Roman"/>
      <w:lang w:val="en-GB"/>
    </w:rPr>
  </w:style>
  <w:style w:type="paragraph" w:customStyle="1" w:styleId="SRPwhitetitleinorangebox">
    <w:name w:val="SRP white title in orange box"/>
    <w:basedOn w:val="Normal"/>
    <w:rsid w:val="000753E7"/>
    <w:pPr>
      <w:ind w:left="170" w:right="170"/>
    </w:pPr>
    <w:rPr>
      <w:rFonts w:eastAsia="Calibri" w:cs="Times New Roman"/>
      <w:b/>
      <w:caps/>
      <w:color w:val="FFFFFF"/>
      <w:sz w:val="24"/>
      <w:szCs w:val="24"/>
    </w:rPr>
  </w:style>
  <w:style w:type="paragraph" w:styleId="BalloonText">
    <w:name w:val="Balloon Text"/>
    <w:basedOn w:val="Normal"/>
    <w:link w:val="BalloonTextChar"/>
    <w:uiPriority w:val="99"/>
    <w:semiHidden/>
    <w:unhideWhenUsed/>
    <w:rsid w:val="00465157"/>
    <w:rPr>
      <w:rFonts w:ascii="Tahoma" w:hAnsi="Tahoma" w:cs="Tahoma"/>
      <w:sz w:val="16"/>
      <w:szCs w:val="16"/>
    </w:rPr>
  </w:style>
  <w:style w:type="character" w:customStyle="1" w:styleId="BalloonTextChar">
    <w:name w:val="Balloon Text Char"/>
    <w:basedOn w:val="DefaultParagraphFont"/>
    <w:link w:val="BalloonText"/>
    <w:uiPriority w:val="99"/>
    <w:semiHidden/>
    <w:rsid w:val="00465157"/>
    <w:rPr>
      <w:rFonts w:ascii="Tahoma" w:hAnsi="Tahoma" w:cs="Tahoma"/>
      <w:color w:val="404040"/>
      <w:sz w:val="16"/>
      <w:szCs w:val="16"/>
    </w:rPr>
  </w:style>
  <w:style w:type="paragraph" w:styleId="Header">
    <w:name w:val="header"/>
    <w:basedOn w:val="Normal"/>
    <w:link w:val="HeaderChar"/>
    <w:uiPriority w:val="99"/>
    <w:semiHidden/>
    <w:unhideWhenUsed/>
    <w:rsid w:val="00C74ED6"/>
    <w:pPr>
      <w:tabs>
        <w:tab w:val="center" w:pos="4680"/>
        <w:tab w:val="right" w:pos="9360"/>
      </w:tabs>
    </w:pPr>
  </w:style>
  <w:style w:type="character" w:customStyle="1" w:styleId="HeaderChar">
    <w:name w:val="Header Char"/>
    <w:basedOn w:val="DefaultParagraphFont"/>
    <w:link w:val="Header"/>
    <w:uiPriority w:val="99"/>
    <w:semiHidden/>
    <w:rsid w:val="00C74ED6"/>
    <w:rPr>
      <w:rFonts w:ascii="Arial" w:hAnsi="Arial"/>
      <w:color w:val="404040"/>
      <w:sz w:val="20"/>
    </w:rPr>
  </w:style>
  <w:style w:type="paragraph" w:styleId="Footer">
    <w:name w:val="footer"/>
    <w:basedOn w:val="Normal"/>
    <w:link w:val="FooterChar"/>
    <w:uiPriority w:val="99"/>
    <w:unhideWhenUsed/>
    <w:rsid w:val="00C74ED6"/>
    <w:pPr>
      <w:tabs>
        <w:tab w:val="center" w:pos="4680"/>
        <w:tab w:val="right" w:pos="9360"/>
      </w:tabs>
    </w:pPr>
  </w:style>
  <w:style w:type="character" w:customStyle="1" w:styleId="FooterChar">
    <w:name w:val="Footer Char"/>
    <w:basedOn w:val="DefaultParagraphFont"/>
    <w:link w:val="Footer"/>
    <w:uiPriority w:val="99"/>
    <w:rsid w:val="00C74ED6"/>
    <w:rPr>
      <w:rFonts w:ascii="Arial" w:hAnsi="Arial"/>
      <w:color w:val="404040"/>
      <w:sz w:val="20"/>
    </w:rPr>
  </w:style>
  <w:style w:type="character" w:styleId="CommentReference">
    <w:name w:val="annotation reference"/>
    <w:basedOn w:val="DefaultParagraphFont"/>
    <w:uiPriority w:val="99"/>
    <w:semiHidden/>
    <w:unhideWhenUsed/>
    <w:rsid w:val="00E460D9"/>
    <w:rPr>
      <w:sz w:val="16"/>
      <w:szCs w:val="16"/>
    </w:rPr>
  </w:style>
  <w:style w:type="paragraph" w:styleId="CommentText">
    <w:name w:val="annotation text"/>
    <w:basedOn w:val="Normal"/>
    <w:link w:val="CommentTextChar"/>
    <w:uiPriority w:val="99"/>
    <w:semiHidden/>
    <w:unhideWhenUsed/>
    <w:rsid w:val="00E460D9"/>
    <w:rPr>
      <w:szCs w:val="20"/>
    </w:rPr>
  </w:style>
  <w:style w:type="character" w:customStyle="1" w:styleId="CommentTextChar">
    <w:name w:val="Comment Text Char"/>
    <w:basedOn w:val="DefaultParagraphFont"/>
    <w:link w:val="CommentText"/>
    <w:uiPriority w:val="99"/>
    <w:semiHidden/>
    <w:rsid w:val="00E460D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E460D9"/>
    <w:rPr>
      <w:b/>
      <w:bCs/>
    </w:rPr>
  </w:style>
  <w:style w:type="character" w:customStyle="1" w:styleId="CommentSubjectChar">
    <w:name w:val="Comment Subject Char"/>
    <w:basedOn w:val="CommentTextChar"/>
    <w:link w:val="CommentSubject"/>
    <w:uiPriority w:val="99"/>
    <w:semiHidden/>
    <w:rsid w:val="00E460D9"/>
    <w:rPr>
      <w:rFonts w:ascii="Arial" w:hAnsi="Arial"/>
      <w:b/>
      <w:bCs/>
      <w:color w:val="404040"/>
      <w:sz w:val="20"/>
      <w:szCs w:val="20"/>
    </w:rPr>
  </w:style>
  <w:style w:type="paragraph" w:customStyle="1" w:styleId="Default">
    <w:name w:val="Default"/>
    <w:rsid w:val="00DD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ocha-00150</dc:creator>
  <cp:lastModifiedBy>akitchingman</cp:lastModifiedBy>
  <cp:revision>5</cp:revision>
  <cp:lastPrinted>2014-07-01T08:42:00Z</cp:lastPrinted>
  <dcterms:created xsi:type="dcterms:W3CDTF">2014-07-28T04:30:00Z</dcterms:created>
  <dcterms:modified xsi:type="dcterms:W3CDTF">2014-08-22T05:55:00Z</dcterms:modified>
</cp:coreProperties>
</file>