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548DD4" w:themeColor="text2" w:themeTint="99"/>
          <w:sz w:val="72"/>
          <w:szCs w:val="72"/>
        </w:rPr>
        <w:id w:val="330805251"/>
        <w:docPartObj>
          <w:docPartGallery w:val="Cover Pages"/>
          <w:docPartUnique/>
        </w:docPartObj>
      </w:sdtPr>
      <w:sdtEndPr>
        <w:rPr>
          <w:rFonts w:asciiTheme="minorHAnsi" w:eastAsiaTheme="minorEastAsia" w:hAnsiTheme="minorHAnsi" w:cstheme="minorBidi"/>
          <w:color w:val="auto"/>
          <w:sz w:val="28"/>
          <w:szCs w:val="28"/>
        </w:rPr>
      </w:sdtEndPr>
      <w:sdtContent>
        <w:p w14:paraId="4CA747A5" w14:textId="65197B5B" w:rsidR="002672FD" w:rsidRDefault="002672FD" w:rsidP="002672FD">
          <w:r>
            <w:rPr>
              <w:rFonts w:asciiTheme="majorHAnsi" w:eastAsiaTheme="majorEastAsia" w:hAnsiTheme="majorHAnsi" w:cstheme="majorBidi"/>
              <w:noProof/>
              <w:color w:val="548DD4" w:themeColor="text2" w:themeTint="99"/>
              <w:sz w:val="72"/>
              <w:szCs w:val="72"/>
              <w:lang w:val="en-US"/>
            </w:rPr>
            <mc:AlternateContent>
              <mc:Choice Requires="wps">
                <w:drawing>
                  <wp:anchor distT="0" distB="0" distL="114300" distR="114300" simplePos="0" relativeHeight="251677696" behindDoc="0" locked="0" layoutInCell="1" allowOverlap="1" wp14:anchorId="7E2592F2" wp14:editId="4045AF8C">
                    <wp:simplePos x="0" y="0"/>
                    <wp:positionH relativeFrom="column">
                      <wp:posOffset>228600</wp:posOffset>
                    </wp:positionH>
                    <wp:positionV relativeFrom="paragraph">
                      <wp:posOffset>457200</wp:posOffset>
                    </wp:positionV>
                    <wp:extent cx="5943600" cy="20574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9436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9F629D" w14:textId="77777777" w:rsidR="00977094" w:rsidRPr="00254C55" w:rsidRDefault="00977094" w:rsidP="0092115F">
                                <w:pPr>
                                  <w:spacing w:line="360" w:lineRule="auto"/>
                                  <w:jc w:val="center"/>
                                  <w:rPr>
                                    <w:rFonts w:asciiTheme="majorHAnsi" w:hAnsiTheme="majorHAnsi" w:cs="Arial"/>
                                    <w:b/>
                                    <w:color w:val="548DD4" w:themeColor="text2" w:themeTint="99"/>
                                    <w:sz w:val="56"/>
                                    <w:szCs w:val="56"/>
                                  </w:rPr>
                                </w:pPr>
                                <w:r w:rsidRPr="00254C55">
                                  <w:rPr>
                                    <w:rFonts w:asciiTheme="majorHAnsi" w:hAnsiTheme="majorHAnsi" w:cs="Arial"/>
                                    <w:b/>
                                    <w:color w:val="548DD4" w:themeColor="text2" w:themeTint="99"/>
                                    <w:sz w:val="56"/>
                                    <w:szCs w:val="56"/>
                                  </w:rPr>
                                  <w:t xml:space="preserve">Knowledge Attitudes and Practices </w:t>
                                </w:r>
                              </w:p>
                              <w:p w14:paraId="0F3137EF" w14:textId="77777777" w:rsidR="00977094" w:rsidRPr="00254C55" w:rsidRDefault="00977094" w:rsidP="0092115F">
                                <w:pPr>
                                  <w:spacing w:line="360" w:lineRule="auto"/>
                                  <w:jc w:val="center"/>
                                  <w:rPr>
                                    <w:rFonts w:asciiTheme="majorHAnsi" w:hAnsiTheme="majorHAnsi" w:cs="Arial"/>
                                    <w:b/>
                                    <w:color w:val="548DD4" w:themeColor="text2" w:themeTint="99"/>
                                    <w:sz w:val="56"/>
                                    <w:szCs w:val="56"/>
                                  </w:rPr>
                                </w:pPr>
                                <w:r w:rsidRPr="00254C55">
                                  <w:rPr>
                                    <w:rFonts w:asciiTheme="majorHAnsi" w:hAnsiTheme="majorHAnsi" w:cs="Arial"/>
                                    <w:b/>
                                    <w:color w:val="548DD4" w:themeColor="text2" w:themeTint="99"/>
                                    <w:sz w:val="56"/>
                                    <w:szCs w:val="56"/>
                                  </w:rPr>
                                  <w:t xml:space="preserve">Survey of Hygiene Behaviours in </w:t>
                                </w:r>
                              </w:p>
                              <w:p w14:paraId="78A3D804" w14:textId="6E3B8C69" w:rsidR="00977094" w:rsidRPr="00254C55" w:rsidRDefault="00977094" w:rsidP="0092115F">
                                <w:pPr>
                                  <w:spacing w:line="360" w:lineRule="auto"/>
                                  <w:jc w:val="center"/>
                                  <w:rPr>
                                    <w:rFonts w:asciiTheme="majorHAnsi" w:hAnsiTheme="majorHAnsi" w:cs="Arial"/>
                                    <w:b/>
                                    <w:color w:val="548DD4" w:themeColor="text2" w:themeTint="99"/>
                                    <w:sz w:val="56"/>
                                    <w:szCs w:val="56"/>
                                  </w:rPr>
                                </w:pPr>
                                <w:r w:rsidRPr="00254C55">
                                  <w:rPr>
                                    <w:rFonts w:asciiTheme="majorHAnsi" w:hAnsiTheme="majorHAnsi" w:cs="Arial"/>
                                    <w:b/>
                                    <w:color w:val="548DD4" w:themeColor="text2" w:themeTint="99"/>
                                    <w:sz w:val="56"/>
                                    <w:szCs w:val="56"/>
                                  </w:rPr>
                                  <w:t>Sittwe Township, Rakhine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18pt;margin-top:36pt;width:468pt;height:1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" filled="f" stroked="f">
                    <v:textbox>
                      <w:txbxContent>
                        <w:p w14:paraId="2D9F629D" w14:textId="77777777" w:rsidR="00977094" w:rsidRPr="00254C55" w:rsidRDefault="00977094" w:rsidP="0092115F">
                          <w:pPr>
                            <w:spacing w:line="360" w:lineRule="auto"/>
                            <w:jc w:val="center"/>
                            <w:rPr>
                              <w:rFonts w:asciiTheme="majorHAnsi" w:hAnsiTheme="majorHAnsi" w:cs="Arial"/>
                              <w:b/>
                              <w:color w:val="548DD4" w:themeColor="text2" w:themeTint="99"/>
                              <w:sz w:val="56"/>
                              <w:szCs w:val="56"/>
                            </w:rPr>
                          </w:pPr>
                          <w:r w:rsidRPr="00254C55">
                            <w:rPr>
                              <w:rFonts w:asciiTheme="majorHAnsi" w:hAnsiTheme="majorHAnsi" w:cs="Arial"/>
                              <w:b/>
                              <w:color w:val="548DD4" w:themeColor="text2" w:themeTint="99"/>
                              <w:sz w:val="56"/>
                              <w:szCs w:val="56"/>
                            </w:rPr>
                            <w:t xml:space="preserve">Knowledge Attitudes and Practices </w:t>
                          </w:r>
                        </w:p>
                        <w:p w14:paraId="0F3137EF" w14:textId="77777777" w:rsidR="00977094" w:rsidRPr="00254C55" w:rsidRDefault="00977094" w:rsidP="0092115F">
                          <w:pPr>
                            <w:spacing w:line="360" w:lineRule="auto"/>
                            <w:jc w:val="center"/>
                            <w:rPr>
                              <w:rFonts w:asciiTheme="majorHAnsi" w:hAnsiTheme="majorHAnsi" w:cs="Arial"/>
                              <w:b/>
                              <w:color w:val="548DD4" w:themeColor="text2" w:themeTint="99"/>
                              <w:sz w:val="56"/>
                              <w:szCs w:val="56"/>
                            </w:rPr>
                          </w:pPr>
                          <w:r w:rsidRPr="00254C55">
                            <w:rPr>
                              <w:rFonts w:asciiTheme="majorHAnsi" w:hAnsiTheme="majorHAnsi" w:cs="Arial"/>
                              <w:b/>
                              <w:color w:val="548DD4" w:themeColor="text2" w:themeTint="99"/>
                              <w:sz w:val="56"/>
                              <w:szCs w:val="56"/>
                            </w:rPr>
                            <w:t xml:space="preserve">Survey of Hygiene Behaviours in </w:t>
                          </w:r>
                        </w:p>
                        <w:p w14:paraId="78A3D804" w14:textId="6E3B8C69" w:rsidR="00977094" w:rsidRPr="00254C55" w:rsidRDefault="00977094" w:rsidP="0092115F">
                          <w:pPr>
                            <w:spacing w:line="360" w:lineRule="auto"/>
                            <w:jc w:val="center"/>
                            <w:rPr>
                              <w:rFonts w:asciiTheme="majorHAnsi" w:hAnsiTheme="majorHAnsi" w:cs="Arial"/>
                              <w:b/>
                              <w:color w:val="548DD4" w:themeColor="text2" w:themeTint="99"/>
                              <w:sz w:val="56"/>
                              <w:szCs w:val="56"/>
                            </w:rPr>
                          </w:pPr>
                          <w:r w:rsidRPr="00254C55">
                            <w:rPr>
                              <w:rFonts w:asciiTheme="majorHAnsi" w:hAnsiTheme="majorHAnsi" w:cs="Arial"/>
                              <w:b/>
                              <w:color w:val="548DD4" w:themeColor="text2" w:themeTint="99"/>
                              <w:sz w:val="56"/>
                              <w:szCs w:val="56"/>
                            </w:rPr>
                            <w:t>Sittwe Township, Rakhine State</w:t>
                          </w:r>
                        </w:p>
                      </w:txbxContent>
                    </v:textbox>
                    <w10:wrap type="square"/>
                  </v:shape>
                </w:pict>
              </mc:Fallback>
            </mc:AlternateContent>
          </w:r>
          <w:r>
            <w:rPr>
              <w:noProof/>
            </w:rPr>
            <w:drawing>
              <wp:anchor distT="0" distB="0" distL="114300" distR="114300" simplePos="0" relativeHeight="251744256" behindDoc="0" locked="0" layoutInCell="1" allowOverlap="1" wp14:anchorId="3A55E02F" wp14:editId="6B027881">
                <wp:simplePos x="0" y="0"/>
                <wp:positionH relativeFrom="column">
                  <wp:posOffset>5257800</wp:posOffset>
                </wp:positionH>
                <wp:positionV relativeFrom="paragraph">
                  <wp:posOffset>-457200</wp:posOffset>
                </wp:positionV>
                <wp:extent cx="654685" cy="596265"/>
                <wp:effectExtent l="0" t="0" r="5715" b="0"/>
                <wp:wrapNone/>
                <wp:docPr id="127" name="Picture 5" descr="Solidarit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idarites_logo"/>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654685" cy="596265"/>
                        </a:xfrm>
                        <a:prstGeom prst="rect">
                          <a:avLst/>
                        </a:prstGeom>
                        <a:noFill/>
                        <a:ln>
                          <a:noFill/>
                        </a:ln>
                      </pic:spPr>
                    </pic:pic>
                  </a:graphicData>
                </a:graphic>
              </wp:anchor>
            </w:drawing>
          </w:r>
          <w:r>
            <w:rPr>
              <w:noProof/>
            </w:rPr>
            <w:drawing>
              <wp:anchor distT="0" distB="0" distL="114300" distR="114300" simplePos="0" relativeHeight="251748352" behindDoc="1" locked="0" layoutInCell="1" allowOverlap="1" wp14:anchorId="3A75E684" wp14:editId="292B12C2">
                <wp:simplePos x="0" y="0"/>
                <wp:positionH relativeFrom="column">
                  <wp:posOffset>3657600</wp:posOffset>
                </wp:positionH>
                <wp:positionV relativeFrom="paragraph">
                  <wp:posOffset>-571500</wp:posOffset>
                </wp:positionV>
                <wp:extent cx="1029970" cy="760095"/>
                <wp:effectExtent l="0" t="0" r="11430" b="1905"/>
                <wp:wrapNone/>
                <wp:docPr id="128" name="Picture 2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0" cstate="screen"/>
                        <a:stretch>
                          <a:fillRect/>
                        </a:stretch>
                      </pic:blipFill>
                      <pic:spPr>
                        <a:xfrm>
                          <a:off x="0" y="0"/>
                          <a:ext cx="1029970" cy="760095"/>
                        </a:xfrm>
                        <a:prstGeom prst="rect">
                          <a:avLst/>
                        </a:prstGeom>
                      </pic:spPr>
                    </pic:pic>
                  </a:graphicData>
                </a:graphic>
              </wp:anchor>
            </w:drawing>
          </w:r>
          <w:r>
            <w:rPr>
              <w:noProof/>
            </w:rPr>
            <w:drawing>
              <wp:anchor distT="0" distB="0" distL="114300" distR="114300" simplePos="0" relativeHeight="251745280" behindDoc="0" locked="0" layoutInCell="1" allowOverlap="1" wp14:anchorId="0D6616E5" wp14:editId="0096DFE8">
                <wp:simplePos x="0" y="0"/>
                <wp:positionH relativeFrom="column">
                  <wp:posOffset>1828800</wp:posOffset>
                </wp:positionH>
                <wp:positionV relativeFrom="paragraph">
                  <wp:posOffset>-457200</wp:posOffset>
                </wp:positionV>
                <wp:extent cx="972185" cy="596265"/>
                <wp:effectExtent l="0" t="0" r="0" b="0"/>
                <wp:wrapNone/>
                <wp:docPr id="1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f logo.jpg"/>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972185" cy="596265"/>
                        </a:xfrm>
                        <a:prstGeom prst="rect">
                          <a:avLst/>
                        </a:prstGeom>
                      </pic:spPr>
                    </pic:pic>
                  </a:graphicData>
                </a:graphic>
              </wp:anchor>
            </w:drawing>
          </w:r>
          <w:r>
            <w:rPr>
              <w:noProof/>
            </w:rPr>
            <w:drawing>
              <wp:anchor distT="0" distB="0" distL="114300" distR="114300" simplePos="0" relativeHeight="251746304" behindDoc="0" locked="0" layoutInCell="1" allowOverlap="1" wp14:anchorId="342587AA" wp14:editId="1D9E3E1C">
                <wp:simplePos x="0" y="0"/>
                <wp:positionH relativeFrom="column">
                  <wp:posOffset>342900</wp:posOffset>
                </wp:positionH>
                <wp:positionV relativeFrom="paragraph">
                  <wp:posOffset>-457200</wp:posOffset>
                </wp:positionV>
                <wp:extent cx="615950" cy="596265"/>
                <wp:effectExtent l="0" t="0" r="0" b="0"/>
                <wp:wrapNone/>
                <wp:docPr id="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am Logo.jp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615950" cy="596265"/>
                        </a:xfrm>
                        <a:prstGeom prst="rect">
                          <a:avLst/>
                        </a:prstGeom>
                      </pic:spPr>
                    </pic:pic>
                  </a:graphicData>
                </a:graphic>
              </wp:anchor>
            </w:drawing>
          </w:r>
        </w:p>
        <w:p w14:paraId="487463CD" w14:textId="77777777" w:rsidR="002672FD" w:rsidRDefault="002672FD" w:rsidP="002672FD"/>
        <w:p w14:paraId="1F7C0E93" w14:textId="4E7FBAD9" w:rsidR="000B34B0" w:rsidRDefault="00CD7B99" w:rsidP="000B34B0">
          <w:pPr>
            <w:spacing w:after="120"/>
            <w:rPr>
              <w:sz w:val="28"/>
              <w:szCs w:val="28"/>
            </w:rPr>
          </w:pPr>
        </w:p>
      </w:sdtContent>
    </w:sdt>
    <w:p w14:paraId="24810FD8" w14:textId="1CDB99A8" w:rsidR="0086119B" w:rsidRPr="0086119B" w:rsidRDefault="002672FD" w:rsidP="002A49E4">
      <w:pPr>
        <w:rPr>
          <w:sz w:val="28"/>
          <w:szCs w:val="28"/>
        </w:rPr>
      </w:pPr>
      <w:r>
        <w:rPr>
          <w:rFonts w:ascii="Calibri" w:hAnsi="Calibri" w:cs="Calibri"/>
          <w:noProof/>
          <w:sz w:val="23"/>
          <w:szCs w:val="23"/>
          <w:lang w:val="en-US"/>
        </w:rPr>
        <w:drawing>
          <wp:anchor distT="0" distB="0" distL="114300" distR="114300" simplePos="0" relativeHeight="251674624" behindDoc="1" locked="0" layoutInCell="1" allowOverlap="1" wp14:anchorId="49C85EFB" wp14:editId="0B681584">
            <wp:simplePos x="0" y="0"/>
            <wp:positionH relativeFrom="margin">
              <wp:posOffset>5029200</wp:posOffset>
            </wp:positionH>
            <wp:positionV relativeFrom="paragraph">
              <wp:posOffset>4794250</wp:posOffset>
            </wp:positionV>
            <wp:extent cx="1508125" cy="1527175"/>
            <wp:effectExtent l="0" t="0" r="0" b="0"/>
            <wp:wrapNone/>
            <wp:docPr id="23" name="Picture 22" descr="UKAI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AID-Logo.png"/>
                    <pic:cNvPicPr/>
                  </pic:nvPicPr>
                  <pic:blipFill>
                    <a:blip r:embed="rId13" cstate="screen"/>
                    <a:stretch>
                      <a:fillRect/>
                    </a:stretch>
                  </pic:blipFill>
                  <pic:spPr>
                    <a:xfrm>
                      <a:off x="0" y="0"/>
                      <a:ext cx="1508125" cy="1527175"/>
                    </a:xfrm>
                    <a:prstGeom prst="rect">
                      <a:avLst/>
                    </a:prstGeom>
                  </pic:spPr>
                </pic:pic>
              </a:graphicData>
            </a:graphic>
          </wp:anchor>
        </w:drawing>
      </w:r>
      <w:r w:rsidR="00B8259A">
        <w:rPr>
          <w:rFonts w:asciiTheme="majorHAnsi" w:eastAsiaTheme="majorEastAsia" w:hAnsiTheme="majorHAnsi" w:cstheme="majorBidi"/>
          <w:noProof/>
          <w:color w:val="548DD4" w:themeColor="text2" w:themeTint="99"/>
          <w:sz w:val="72"/>
          <w:szCs w:val="72"/>
          <w:lang w:val="en-US"/>
        </w:rPr>
        <mc:AlternateContent>
          <mc:Choice Requires="wps">
            <w:drawing>
              <wp:anchor distT="0" distB="0" distL="114300" distR="114300" simplePos="0" relativeHeight="251673600" behindDoc="0" locked="0" layoutInCell="1" allowOverlap="1" wp14:anchorId="4AB38B4E" wp14:editId="2FA2962D">
                <wp:simplePos x="0" y="0"/>
                <wp:positionH relativeFrom="column">
                  <wp:posOffset>1600200</wp:posOffset>
                </wp:positionH>
                <wp:positionV relativeFrom="paragraph">
                  <wp:posOffset>6051550</wp:posOffset>
                </wp:positionV>
                <wp:extent cx="29718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2971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DF5ABB" w14:textId="4C7BE2EF" w:rsidR="00977094" w:rsidRPr="0092115F" w:rsidRDefault="00977094" w:rsidP="002A49E4">
                            <w:pPr>
                              <w:jc w:val="right"/>
                              <w:rPr>
                                <w:rFonts w:asciiTheme="majorHAnsi" w:hAnsiTheme="majorHAnsi"/>
                                <w:b/>
                                <w:sz w:val="40"/>
                                <w:szCs w:val="40"/>
                              </w:rPr>
                            </w:pPr>
                            <w:r w:rsidRPr="0092115F">
                              <w:rPr>
                                <w:rFonts w:asciiTheme="majorHAnsi" w:hAnsiTheme="majorHAnsi"/>
                                <w:b/>
                                <w:sz w:val="40"/>
                                <w:szCs w:val="40"/>
                              </w:rPr>
                              <w:t>D</w:t>
                            </w:r>
                            <w:r>
                              <w:rPr>
                                <w:rFonts w:asciiTheme="majorHAnsi" w:hAnsiTheme="majorHAnsi"/>
                                <w:b/>
                                <w:sz w:val="40"/>
                                <w:szCs w:val="40"/>
                              </w:rPr>
                              <w:t xml:space="preserve">fID </w:t>
                            </w:r>
                            <w:r w:rsidRPr="0092115F">
                              <w:rPr>
                                <w:rFonts w:asciiTheme="majorHAnsi" w:hAnsiTheme="majorHAnsi"/>
                                <w:b/>
                                <w:sz w:val="40"/>
                                <w:szCs w:val="40"/>
                              </w:rPr>
                              <w:t>Consortium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126pt;margin-top:476.5pt;width:234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" filled="f" stroked="f">
                <v:textbox>
                  <w:txbxContent>
                    <w:p w14:paraId="5BDF5ABB" w14:textId="4C7BE2EF" w:rsidR="00977094" w:rsidRPr="0092115F" w:rsidRDefault="00977094" w:rsidP="002A49E4">
                      <w:pPr>
                        <w:jc w:val="right"/>
                        <w:rPr>
                          <w:rFonts w:asciiTheme="majorHAnsi" w:hAnsiTheme="majorHAnsi"/>
                          <w:b/>
                          <w:sz w:val="40"/>
                          <w:szCs w:val="40"/>
                        </w:rPr>
                      </w:pPr>
                      <w:r w:rsidRPr="0092115F">
                        <w:rPr>
                          <w:rFonts w:asciiTheme="majorHAnsi" w:hAnsiTheme="majorHAnsi"/>
                          <w:b/>
                          <w:sz w:val="40"/>
                          <w:szCs w:val="40"/>
                        </w:rPr>
                        <w:t>D</w:t>
                      </w:r>
                      <w:r>
                        <w:rPr>
                          <w:rFonts w:asciiTheme="majorHAnsi" w:hAnsiTheme="majorHAnsi"/>
                          <w:b/>
                          <w:sz w:val="40"/>
                          <w:szCs w:val="40"/>
                        </w:rPr>
                        <w:t xml:space="preserve">fID </w:t>
                      </w:r>
                      <w:r w:rsidRPr="0092115F">
                        <w:rPr>
                          <w:rFonts w:asciiTheme="majorHAnsi" w:hAnsiTheme="majorHAnsi"/>
                          <w:b/>
                          <w:sz w:val="40"/>
                          <w:szCs w:val="40"/>
                        </w:rPr>
                        <w:t>Consortium Partners</w:t>
                      </w:r>
                    </w:p>
                  </w:txbxContent>
                </v:textbox>
                <w10:wrap type="square"/>
              </v:shape>
            </w:pict>
          </mc:Fallback>
        </mc:AlternateContent>
      </w:r>
      <w:r w:rsidR="00AA632D">
        <w:rPr>
          <w:noProof/>
          <w:sz w:val="28"/>
          <w:szCs w:val="28"/>
          <w:lang w:val="en-US"/>
        </w:rPr>
        <mc:AlternateContent>
          <mc:Choice Requires="wps">
            <w:drawing>
              <wp:anchor distT="0" distB="0" distL="114300" distR="114300" simplePos="0" relativeHeight="251741184" behindDoc="0" locked="0" layoutInCell="1" allowOverlap="1" wp14:anchorId="23E5CD98" wp14:editId="5C089B03">
                <wp:simplePos x="0" y="0"/>
                <wp:positionH relativeFrom="column">
                  <wp:posOffset>2400300</wp:posOffset>
                </wp:positionH>
                <wp:positionV relativeFrom="paragraph">
                  <wp:posOffset>4973320</wp:posOffset>
                </wp:positionV>
                <wp:extent cx="1143000" cy="457200"/>
                <wp:effectExtent l="0" t="0" r="0" b="0"/>
                <wp:wrapSquare wrapText="bothSides"/>
                <wp:docPr id="122" name="Text Box 122"/>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6FB3F5" w14:textId="3BB6FEAB" w:rsidR="00977094" w:rsidRPr="00AA632D" w:rsidRDefault="00977094" w:rsidP="00AA632D">
                            <w:pPr>
                              <w:jc w:val="center"/>
                              <w:rPr>
                                <w:rFonts w:asciiTheme="majorHAnsi" w:hAnsiTheme="majorHAnsi"/>
                                <w:b/>
                                <w:sz w:val="36"/>
                                <w:szCs w:val="36"/>
                              </w:rPr>
                            </w:pPr>
                            <w:r w:rsidRPr="00AA632D">
                              <w:rPr>
                                <w:rFonts w:asciiTheme="majorHAnsi" w:hAnsiTheme="majorHAnsi"/>
                                <w:b/>
                                <w:sz w:val="36"/>
                                <w:szCs w:val="36"/>
                              </w:rPr>
                              <w:t>May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2" o:spid="_x0000_s1028" type="#_x0000_t202" style="position:absolute;margin-left:189pt;margin-top:391.6pt;width:90pt;height:36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" filled="f" stroked="f">
                <v:textbox>
                  <w:txbxContent>
                    <w:p w14:paraId="3A6FB3F5" w14:textId="3BB6FEAB" w:rsidR="00977094" w:rsidRPr="00AA632D" w:rsidRDefault="00977094" w:rsidP="00AA632D">
                      <w:pPr>
                        <w:jc w:val="center"/>
                        <w:rPr>
                          <w:rFonts w:asciiTheme="majorHAnsi" w:hAnsiTheme="majorHAnsi"/>
                          <w:b/>
                          <w:sz w:val="36"/>
                          <w:szCs w:val="36"/>
                        </w:rPr>
                      </w:pPr>
                      <w:r w:rsidRPr="00AA632D">
                        <w:rPr>
                          <w:rFonts w:asciiTheme="majorHAnsi" w:hAnsiTheme="majorHAnsi"/>
                          <w:b/>
                          <w:sz w:val="36"/>
                          <w:szCs w:val="36"/>
                        </w:rPr>
                        <w:t>May 2015</w:t>
                      </w:r>
                    </w:p>
                  </w:txbxContent>
                </v:textbox>
                <w10:wrap type="square"/>
              </v:shape>
            </w:pict>
          </mc:Fallback>
        </mc:AlternateContent>
      </w:r>
      <w:r w:rsidR="00AA632D">
        <w:rPr>
          <w:noProof/>
          <w:sz w:val="28"/>
          <w:szCs w:val="28"/>
          <w:lang w:val="en-US"/>
        </w:rPr>
        <mc:AlternateContent>
          <mc:Choice Requires="wps">
            <w:drawing>
              <wp:anchor distT="0" distB="0" distL="114300" distR="114300" simplePos="0" relativeHeight="251740160" behindDoc="0" locked="0" layoutInCell="1" allowOverlap="1" wp14:anchorId="4A512723" wp14:editId="7E457F1E">
                <wp:simplePos x="0" y="0"/>
                <wp:positionH relativeFrom="column">
                  <wp:posOffset>228600</wp:posOffset>
                </wp:positionH>
                <wp:positionV relativeFrom="paragraph">
                  <wp:posOffset>3716020</wp:posOffset>
                </wp:positionV>
                <wp:extent cx="1943100" cy="685800"/>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1943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2AA8D8" w14:textId="77777777" w:rsidR="00977094" w:rsidRDefault="00977094">
                            <w:pPr>
                              <w:rPr>
                                <w:rFonts w:asciiTheme="majorHAnsi" w:hAnsiTheme="majorHAnsi"/>
                                <w:sz w:val="18"/>
                                <w:szCs w:val="18"/>
                              </w:rPr>
                            </w:pPr>
                            <w:r w:rsidRPr="00AA632D">
                              <w:rPr>
                                <w:rFonts w:asciiTheme="majorHAnsi" w:hAnsiTheme="majorHAnsi"/>
                                <w:sz w:val="18"/>
                                <w:szCs w:val="18"/>
                              </w:rPr>
                              <w:t xml:space="preserve">Solar lighting for </w:t>
                            </w:r>
                            <w:r>
                              <w:rPr>
                                <w:rFonts w:asciiTheme="majorHAnsi" w:hAnsiTheme="majorHAnsi"/>
                                <w:sz w:val="18"/>
                                <w:szCs w:val="18"/>
                              </w:rPr>
                              <w:t xml:space="preserve">gender-segregated </w:t>
                            </w:r>
                            <w:r w:rsidRPr="00AA632D">
                              <w:rPr>
                                <w:rFonts w:asciiTheme="majorHAnsi" w:hAnsiTheme="majorHAnsi"/>
                                <w:sz w:val="18"/>
                                <w:szCs w:val="18"/>
                              </w:rPr>
                              <w:t>latrines assigned to specific temporary shelters</w:t>
                            </w:r>
                          </w:p>
                          <w:p w14:paraId="5F3ACDFF" w14:textId="072F5240" w:rsidR="00977094" w:rsidRPr="00AA632D" w:rsidRDefault="00977094">
                            <w:pPr>
                              <w:rPr>
                                <w:rFonts w:asciiTheme="majorHAnsi" w:hAnsiTheme="majorHAnsi"/>
                                <w:sz w:val="18"/>
                                <w:szCs w:val="18"/>
                              </w:rPr>
                            </w:pPr>
                            <w:r w:rsidRPr="00AA632D">
                              <w:rPr>
                                <w:rFonts w:asciiTheme="majorHAnsi" w:hAnsiTheme="majorHAnsi"/>
                                <w:sz w:val="18"/>
                                <w:szCs w:val="18"/>
                              </w:rPr>
                              <w:t>BaSaRa IDP Camp</w:t>
                            </w:r>
                            <w:r>
                              <w:rPr>
                                <w:rFonts w:asciiTheme="majorHAnsi" w:hAnsiTheme="majorHAnsi"/>
                                <w:sz w:val="18"/>
                                <w:szCs w:val="18"/>
                              </w:rPr>
                              <w:t>, Sittwe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29" type="#_x0000_t202" style="position:absolute;margin-left:18pt;margin-top:292.6pt;width:153pt;height:5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e5VNECAAAZ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" filled="f" stroked="f">
                <v:textbox>
                  <w:txbxContent>
                    <w:p w14:paraId="4B2AA8D8" w14:textId="77777777" w:rsidR="00977094" w:rsidRDefault="00977094">
                      <w:pPr>
                        <w:rPr>
                          <w:rFonts w:asciiTheme="majorHAnsi" w:hAnsiTheme="majorHAnsi"/>
                          <w:sz w:val="18"/>
                          <w:szCs w:val="18"/>
                        </w:rPr>
                      </w:pPr>
                      <w:r w:rsidRPr="00AA632D">
                        <w:rPr>
                          <w:rFonts w:asciiTheme="majorHAnsi" w:hAnsiTheme="majorHAnsi"/>
                          <w:sz w:val="18"/>
                          <w:szCs w:val="18"/>
                        </w:rPr>
                        <w:t xml:space="preserve">Solar lighting for </w:t>
                      </w:r>
                      <w:r>
                        <w:rPr>
                          <w:rFonts w:asciiTheme="majorHAnsi" w:hAnsiTheme="majorHAnsi"/>
                          <w:sz w:val="18"/>
                          <w:szCs w:val="18"/>
                        </w:rPr>
                        <w:t xml:space="preserve">gender-segregated </w:t>
                      </w:r>
                      <w:r w:rsidRPr="00AA632D">
                        <w:rPr>
                          <w:rFonts w:asciiTheme="majorHAnsi" w:hAnsiTheme="majorHAnsi"/>
                          <w:sz w:val="18"/>
                          <w:szCs w:val="18"/>
                        </w:rPr>
                        <w:t>latrines assigned to specific temporary shelters</w:t>
                      </w:r>
                    </w:p>
                    <w:p w14:paraId="5F3ACDFF" w14:textId="072F5240" w:rsidR="00977094" w:rsidRPr="00AA632D" w:rsidRDefault="00977094">
                      <w:pPr>
                        <w:rPr>
                          <w:rFonts w:asciiTheme="majorHAnsi" w:hAnsiTheme="majorHAnsi"/>
                          <w:sz w:val="18"/>
                          <w:szCs w:val="18"/>
                        </w:rPr>
                      </w:pPr>
                      <w:r w:rsidRPr="00AA632D">
                        <w:rPr>
                          <w:rFonts w:asciiTheme="majorHAnsi" w:hAnsiTheme="majorHAnsi"/>
                          <w:sz w:val="18"/>
                          <w:szCs w:val="18"/>
                        </w:rPr>
                        <w:t>BaSaRa IDP Camp</w:t>
                      </w:r>
                      <w:r>
                        <w:rPr>
                          <w:rFonts w:asciiTheme="majorHAnsi" w:hAnsiTheme="majorHAnsi"/>
                          <w:sz w:val="18"/>
                          <w:szCs w:val="18"/>
                        </w:rPr>
                        <w:t>, Sittwe</w:t>
                      </w:r>
                    </w:p>
                  </w:txbxContent>
                </v:textbox>
                <w10:wrap type="square"/>
              </v:shape>
            </w:pict>
          </mc:Fallback>
        </mc:AlternateContent>
      </w:r>
      <w:r w:rsidR="00AA632D">
        <w:rPr>
          <w:rFonts w:asciiTheme="majorHAnsi" w:eastAsiaTheme="majorEastAsia" w:hAnsiTheme="majorHAnsi" w:cstheme="majorBidi"/>
          <w:noProof/>
          <w:color w:val="548DD4" w:themeColor="text2" w:themeTint="99"/>
          <w:sz w:val="72"/>
          <w:szCs w:val="72"/>
          <w:lang w:val="en-US"/>
        </w:rPr>
        <w:drawing>
          <wp:anchor distT="0" distB="0" distL="114300" distR="114300" simplePos="0" relativeHeight="251737088" behindDoc="0" locked="0" layoutInCell="1" allowOverlap="1" wp14:anchorId="22FD82D7" wp14:editId="7BD80B4F">
            <wp:simplePos x="0" y="0"/>
            <wp:positionH relativeFrom="column">
              <wp:posOffset>228600</wp:posOffset>
            </wp:positionH>
            <wp:positionV relativeFrom="paragraph">
              <wp:posOffset>57785</wp:posOffset>
            </wp:positionV>
            <wp:extent cx="1828800" cy="3251200"/>
            <wp:effectExtent l="25400" t="25400" r="25400" b="2540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1_143410.jpg"/>
                    <pic:cNvPicPr/>
                  </pic:nvPicPr>
                  <pic:blipFill>
                    <a:blip r:embed="rId14" cstate="print">
                      <a:extLst>
                        <a:ext uri="{28A0092B-C50C-407E-A947-70E740481C1C}">
                          <a14:useLocalDpi xmlns:a14="http://schemas.microsoft.com/office/drawing/2010/main"/>
                        </a:ext>
                      </a:extLst>
                    </a:blip>
                    <a:stretch>
                      <a:fillRect/>
                    </a:stretch>
                  </pic:blipFill>
                  <pic:spPr>
                    <a:xfrm>
                      <a:off x="0" y="0"/>
                      <a:ext cx="1828800" cy="3251200"/>
                    </a:xfrm>
                    <a:prstGeom prst="rect">
                      <a:avLst/>
                    </a:prstGeom>
                    <a:ln w="15875">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A632D">
        <w:rPr>
          <w:noProof/>
          <w:sz w:val="28"/>
          <w:szCs w:val="28"/>
          <w:lang w:val="en-US"/>
        </w:rPr>
        <w:drawing>
          <wp:anchor distT="0" distB="0" distL="114300" distR="114300" simplePos="0" relativeHeight="251739136" behindDoc="0" locked="0" layoutInCell="1" allowOverlap="1" wp14:anchorId="65815B6A" wp14:editId="3837B5F7">
            <wp:simplePos x="0" y="0"/>
            <wp:positionH relativeFrom="column">
              <wp:posOffset>2514600</wp:posOffset>
            </wp:positionH>
            <wp:positionV relativeFrom="paragraph">
              <wp:posOffset>2458720</wp:posOffset>
            </wp:positionV>
            <wp:extent cx="3543300" cy="1992630"/>
            <wp:effectExtent l="25400" t="25400" r="38100" b="1397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1_144311.jpg"/>
                    <pic:cNvPicPr/>
                  </pic:nvPicPr>
                  <pic:blipFill>
                    <a:blip r:embed="rId15" cstate="print">
                      <a:extLst>
                        <a:ext uri="{28A0092B-C50C-407E-A947-70E740481C1C}">
                          <a14:useLocalDpi xmlns:a14="http://schemas.microsoft.com/office/drawing/2010/main"/>
                        </a:ext>
                      </a:extLst>
                    </a:blip>
                    <a:stretch>
                      <a:fillRect/>
                    </a:stretch>
                  </pic:blipFill>
                  <pic:spPr>
                    <a:xfrm>
                      <a:off x="0" y="0"/>
                      <a:ext cx="3543300" cy="1992630"/>
                    </a:xfrm>
                    <a:prstGeom prst="rect">
                      <a:avLst/>
                    </a:prstGeom>
                    <a:ln w="15875">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A632D">
        <w:rPr>
          <w:noProof/>
          <w:sz w:val="28"/>
          <w:szCs w:val="28"/>
          <w:lang w:val="en-US"/>
        </w:rPr>
        <w:drawing>
          <wp:anchor distT="0" distB="0" distL="114300" distR="114300" simplePos="0" relativeHeight="251738112" behindDoc="0" locked="0" layoutInCell="1" allowOverlap="1" wp14:anchorId="6B827782" wp14:editId="44356B89">
            <wp:simplePos x="0" y="0"/>
            <wp:positionH relativeFrom="column">
              <wp:posOffset>2514600</wp:posOffset>
            </wp:positionH>
            <wp:positionV relativeFrom="paragraph">
              <wp:posOffset>58420</wp:posOffset>
            </wp:positionV>
            <wp:extent cx="3569335" cy="2007235"/>
            <wp:effectExtent l="25400" t="25400" r="37465" b="2476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1_144444.jpg"/>
                    <pic:cNvPicPr/>
                  </pic:nvPicPr>
                  <pic:blipFill>
                    <a:blip r:embed="rId16" cstate="print">
                      <a:extLst>
                        <a:ext uri="{28A0092B-C50C-407E-A947-70E740481C1C}">
                          <a14:useLocalDpi xmlns:a14="http://schemas.microsoft.com/office/drawing/2010/main"/>
                        </a:ext>
                      </a:extLst>
                    </a:blip>
                    <a:stretch>
                      <a:fillRect/>
                    </a:stretch>
                  </pic:blipFill>
                  <pic:spPr>
                    <a:xfrm>
                      <a:off x="0" y="0"/>
                      <a:ext cx="3569335" cy="2007235"/>
                    </a:xfrm>
                    <a:prstGeom prst="rect">
                      <a:avLst/>
                    </a:prstGeom>
                    <a:ln w="15875">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54514">
        <w:rPr>
          <w:noProof/>
          <w:lang w:val="en-US"/>
        </w:rPr>
        <mc:AlternateContent>
          <mc:Choice Requires="wps">
            <w:drawing>
              <wp:anchor distT="0" distB="0" distL="114300" distR="114300" simplePos="0" relativeHeight="251672576" behindDoc="1" locked="0" layoutInCell="1" allowOverlap="1" wp14:anchorId="1F4EA2A6" wp14:editId="2BADB2AC">
                <wp:simplePos x="0" y="0"/>
                <wp:positionH relativeFrom="page">
                  <wp:posOffset>342900</wp:posOffset>
                </wp:positionH>
                <wp:positionV relativeFrom="page">
                  <wp:posOffset>9052560</wp:posOffset>
                </wp:positionV>
                <wp:extent cx="7040880" cy="1234440"/>
                <wp:effectExtent l="0" t="0" r="0" b="10160"/>
                <wp:wrapNone/>
                <wp:docPr id="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234440"/>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7pt;margin-top:712.8pt;width:554.4pt;height:97.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" stroked="f" strokecolor="#4a7ebb" strokeweight="1.5pt">
                <v:fill opacity="0" color2="#8db3e2 [1311]" rotate="t" focus="100%" type="gradient"/>
                <v:shadow opacity="22938f" offset="0"/>
                <v:textbox inset=",7.2pt,,7.2pt"/>
                <w10:wrap anchorx="page" anchory="page"/>
              </v:rect>
            </w:pict>
          </mc:Fallback>
        </mc:AlternateContent>
      </w:r>
      <w:r w:rsidR="0086119B" w:rsidRPr="0086119B">
        <w:rPr>
          <w:sz w:val="28"/>
          <w:szCs w:val="28"/>
        </w:rPr>
        <w:br w:type="page"/>
      </w:r>
    </w:p>
    <w:p w14:paraId="72174FC9" w14:textId="77777777" w:rsidR="006C7D1D" w:rsidRDefault="006C7D1D" w:rsidP="006C7D1D"/>
    <w:p w14:paraId="7CEAA4E0" w14:textId="77777777" w:rsidR="006C7D1D" w:rsidRPr="001224BB" w:rsidRDefault="006C7D1D" w:rsidP="006C7D1D">
      <w:pPr>
        <w:pStyle w:val="Heading1"/>
        <w:jc w:val="center"/>
        <w:rPr>
          <w:color w:val="548DD4" w:themeColor="text2" w:themeTint="99"/>
          <w:sz w:val="28"/>
          <w:szCs w:val="28"/>
        </w:rPr>
      </w:pPr>
      <w:bookmarkStart w:id="0" w:name="_Toc292703937"/>
      <w:bookmarkStart w:id="1" w:name="_Toc292704155"/>
      <w:bookmarkStart w:id="2" w:name="_Toc294273134"/>
      <w:r w:rsidRPr="001224BB">
        <w:rPr>
          <w:color w:val="548DD4" w:themeColor="text2" w:themeTint="99"/>
          <w:sz w:val="28"/>
          <w:szCs w:val="28"/>
        </w:rPr>
        <w:t>Table of Contents</w:t>
      </w:r>
      <w:bookmarkEnd w:id="0"/>
      <w:bookmarkEnd w:id="1"/>
      <w:bookmarkEnd w:id="2"/>
    </w:p>
    <w:p w14:paraId="16956905" w14:textId="77777777" w:rsidR="006C7D1D" w:rsidRPr="006C7D1D" w:rsidRDefault="006C7D1D" w:rsidP="006C7D1D"/>
    <w:p w14:paraId="39EC4A73" w14:textId="2E9C5F2C" w:rsidR="00233701" w:rsidRPr="00233701" w:rsidRDefault="000918A4" w:rsidP="00233701">
      <w:pPr>
        <w:pStyle w:val="TOC1"/>
        <w:rPr>
          <w:b w:val="0"/>
          <w:sz w:val="24"/>
          <w:szCs w:val="24"/>
          <w:lang w:val="en-US" w:eastAsia="ja-JP"/>
        </w:rPr>
      </w:pPr>
      <w:r w:rsidRPr="00233701">
        <w:rPr>
          <w:sz w:val="24"/>
          <w:szCs w:val="24"/>
        </w:rPr>
        <w:fldChar w:fldCharType="begin"/>
      </w:r>
      <w:r w:rsidRPr="00233701">
        <w:rPr>
          <w:sz w:val="24"/>
          <w:szCs w:val="24"/>
        </w:rPr>
        <w:instrText xml:space="preserve"> TOC \o "1-3" </w:instrText>
      </w:r>
      <w:r w:rsidRPr="00233701">
        <w:rPr>
          <w:sz w:val="24"/>
          <w:szCs w:val="24"/>
        </w:rPr>
        <w:fldChar w:fldCharType="separate"/>
      </w:r>
    </w:p>
    <w:p w14:paraId="38F0E170" w14:textId="77777777" w:rsidR="00233701" w:rsidRPr="00D02195" w:rsidRDefault="00233701" w:rsidP="00233701">
      <w:pPr>
        <w:pStyle w:val="TOC1"/>
        <w:rPr>
          <w:b w:val="0"/>
          <w:sz w:val="24"/>
          <w:szCs w:val="24"/>
          <w:lang w:val="en-US" w:eastAsia="ja-JP"/>
        </w:rPr>
      </w:pPr>
      <w:r w:rsidRPr="00D02195">
        <w:rPr>
          <w:sz w:val="24"/>
          <w:szCs w:val="24"/>
        </w:rPr>
        <w:t>Table of Contents</w:t>
      </w:r>
      <w:r w:rsidRPr="00D02195">
        <w:rPr>
          <w:sz w:val="24"/>
          <w:szCs w:val="24"/>
        </w:rPr>
        <w:tab/>
      </w:r>
      <w:r w:rsidRPr="00D02195">
        <w:rPr>
          <w:sz w:val="24"/>
          <w:szCs w:val="24"/>
        </w:rPr>
        <w:fldChar w:fldCharType="begin"/>
      </w:r>
      <w:r w:rsidRPr="00D02195">
        <w:rPr>
          <w:sz w:val="24"/>
          <w:szCs w:val="24"/>
        </w:rPr>
        <w:instrText xml:space="preserve"> PAGEREF _Toc294273134 \h </w:instrText>
      </w:r>
      <w:r w:rsidRPr="00D02195">
        <w:rPr>
          <w:sz w:val="24"/>
          <w:szCs w:val="24"/>
        </w:rPr>
      </w:r>
      <w:r w:rsidRPr="00D02195">
        <w:rPr>
          <w:sz w:val="24"/>
          <w:szCs w:val="24"/>
        </w:rPr>
        <w:fldChar w:fldCharType="separate"/>
      </w:r>
      <w:r w:rsidR="00D02195" w:rsidRPr="00D02195">
        <w:rPr>
          <w:sz w:val="24"/>
          <w:szCs w:val="24"/>
        </w:rPr>
        <w:t>2</w:t>
      </w:r>
      <w:r w:rsidRPr="00D02195">
        <w:rPr>
          <w:sz w:val="24"/>
          <w:szCs w:val="24"/>
        </w:rPr>
        <w:fldChar w:fldCharType="end"/>
      </w:r>
    </w:p>
    <w:p w14:paraId="0C05605B" w14:textId="77777777" w:rsidR="00233701" w:rsidRPr="00D02195" w:rsidRDefault="00233701" w:rsidP="00233701">
      <w:pPr>
        <w:pStyle w:val="TOC1"/>
        <w:tabs>
          <w:tab w:val="left" w:pos="463"/>
        </w:tabs>
        <w:rPr>
          <w:b w:val="0"/>
          <w:sz w:val="24"/>
          <w:szCs w:val="24"/>
          <w:lang w:val="en-US" w:eastAsia="ja-JP"/>
        </w:rPr>
      </w:pPr>
      <w:r w:rsidRPr="00D02195">
        <w:rPr>
          <w:sz w:val="24"/>
          <w:szCs w:val="24"/>
        </w:rPr>
        <w:t>01</w:t>
      </w:r>
      <w:r w:rsidRPr="00D02195">
        <w:rPr>
          <w:b w:val="0"/>
          <w:sz w:val="24"/>
          <w:szCs w:val="24"/>
          <w:lang w:val="en-US" w:eastAsia="ja-JP"/>
        </w:rPr>
        <w:tab/>
      </w:r>
      <w:r w:rsidRPr="00D02195">
        <w:rPr>
          <w:sz w:val="24"/>
          <w:szCs w:val="24"/>
        </w:rPr>
        <w:t>Introduction</w:t>
      </w:r>
      <w:r w:rsidRPr="00D02195">
        <w:rPr>
          <w:sz w:val="24"/>
          <w:szCs w:val="24"/>
        </w:rPr>
        <w:tab/>
      </w:r>
      <w:r w:rsidRPr="00D02195">
        <w:rPr>
          <w:sz w:val="24"/>
          <w:szCs w:val="24"/>
        </w:rPr>
        <w:fldChar w:fldCharType="begin"/>
      </w:r>
      <w:r w:rsidRPr="00D02195">
        <w:rPr>
          <w:sz w:val="24"/>
          <w:szCs w:val="24"/>
        </w:rPr>
        <w:instrText xml:space="preserve"> PAGEREF _Toc294273135 \h </w:instrText>
      </w:r>
      <w:r w:rsidRPr="00D02195">
        <w:rPr>
          <w:sz w:val="24"/>
          <w:szCs w:val="24"/>
        </w:rPr>
      </w:r>
      <w:r w:rsidRPr="00D02195">
        <w:rPr>
          <w:sz w:val="24"/>
          <w:szCs w:val="24"/>
        </w:rPr>
        <w:fldChar w:fldCharType="separate"/>
      </w:r>
      <w:r w:rsidR="00D02195" w:rsidRPr="00D02195">
        <w:rPr>
          <w:sz w:val="24"/>
          <w:szCs w:val="24"/>
        </w:rPr>
        <w:t>3</w:t>
      </w:r>
      <w:r w:rsidRPr="00D02195">
        <w:rPr>
          <w:sz w:val="24"/>
          <w:szCs w:val="24"/>
        </w:rPr>
        <w:fldChar w:fldCharType="end"/>
      </w:r>
    </w:p>
    <w:p w14:paraId="454E2E4B" w14:textId="77777777" w:rsidR="00233701" w:rsidRPr="00D02195" w:rsidRDefault="00233701" w:rsidP="00233701">
      <w:pPr>
        <w:pStyle w:val="TOC1"/>
        <w:tabs>
          <w:tab w:val="left" w:pos="463"/>
        </w:tabs>
        <w:rPr>
          <w:b w:val="0"/>
          <w:sz w:val="24"/>
          <w:szCs w:val="24"/>
          <w:lang w:val="en-US" w:eastAsia="ja-JP"/>
        </w:rPr>
      </w:pPr>
      <w:r w:rsidRPr="00D02195">
        <w:rPr>
          <w:sz w:val="24"/>
          <w:szCs w:val="24"/>
        </w:rPr>
        <w:t>02</w:t>
      </w:r>
      <w:r w:rsidRPr="00D02195">
        <w:rPr>
          <w:b w:val="0"/>
          <w:sz w:val="24"/>
          <w:szCs w:val="24"/>
          <w:lang w:val="en-US" w:eastAsia="ja-JP"/>
        </w:rPr>
        <w:tab/>
      </w:r>
      <w:r w:rsidRPr="00D02195">
        <w:rPr>
          <w:sz w:val="24"/>
          <w:szCs w:val="24"/>
        </w:rPr>
        <w:t>Objectives of the KAP Survey</w:t>
      </w:r>
      <w:r w:rsidRPr="00D02195">
        <w:rPr>
          <w:sz w:val="24"/>
          <w:szCs w:val="24"/>
        </w:rPr>
        <w:tab/>
      </w:r>
      <w:r w:rsidRPr="00D02195">
        <w:rPr>
          <w:sz w:val="24"/>
          <w:szCs w:val="24"/>
        </w:rPr>
        <w:fldChar w:fldCharType="begin"/>
      </w:r>
      <w:r w:rsidRPr="00D02195">
        <w:rPr>
          <w:sz w:val="24"/>
          <w:szCs w:val="24"/>
        </w:rPr>
        <w:instrText xml:space="preserve"> PAGEREF _Toc294273136 \h </w:instrText>
      </w:r>
      <w:r w:rsidRPr="00D02195">
        <w:rPr>
          <w:sz w:val="24"/>
          <w:szCs w:val="24"/>
        </w:rPr>
      </w:r>
      <w:r w:rsidRPr="00D02195">
        <w:rPr>
          <w:sz w:val="24"/>
          <w:szCs w:val="24"/>
        </w:rPr>
        <w:fldChar w:fldCharType="separate"/>
      </w:r>
      <w:r w:rsidR="00D02195" w:rsidRPr="00D02195">
        <w:rPr>
          <w:sz w:val="24"/>
          <w:szCs w:val="24"/>
        </w:rPr>
        <w:t>3</w:t>
      </w:r>
      <w:r w:rsidRPr="00D02195">
        <w:rPr>
          <w:sz w:val="24"/>
          <w:szCs w:val="24"/>
        </w:rPr>
        <w:fldChar w:fldCharType="end"/>
      </w:r>
    </w:p>
    <w:p w14:paraId="6352C5AA" w14:textId="77777777" w:rsidR="00233701" w:rsidRPr="00D02195" w:rsidRDefault="00233701" w:rsidP="00233701">
      <w:pPr>
        <w:pStyle w:val="TOC1"/>
        <w:tabs>
          <w:tab w:val="left" w:pos="463"/>
        </w:tabs>
        <w:rPr>
          <w:b w:val="0"/>
          <w:sz w:val="24"/>
          <w:szCs w:val="24"/>
          <w:lang w:val="en-US" w:eastAsia="ja-JP"/>
        </w:rPr>
      </w:pPr>
      <w:r w:rsidRPr="00D02195">
        <w:rPr>
          <w:sz w:val="24"/>
          <w:szCs w:val="24"/>
        </w:rPr>
        <w:t>03</w:t>
      </w:r>
      <w:r w:rsidRPr="00D02195">
        <w:rPr>
          <w:b w:val="0"/>
          <w:sz w:val="24"/>
          <w:szCs w:val="24"/>
          <w:lang w:val="en-US" w:eastAsia="ja-JP"/>
        </w:rPr>
        <w:tab/>
      </w:r>
      <w:r w:rsidRPr="00D02195">
        <w:rPr>
          <w:sz w:val="24"/>
          <w:szCs w:val="24"/>
        </w:rPr>
        <w:t>Methodology</w:t>
      </w:r>
      <w:r w:rsidRPr="00D02195">
        <w:rPr>
          <w:sz w:val="24"/>
          <w:szCs w:val="24"/>
        </w:rPr>
        <w:tab/>
      </w:r>
      <w:r w:rsidRPr="00D02195">
        <w:rPr>
          <w:sz w:val="24"/>
          <w:szCs w:val="24"/>
        </w:rPr>
        <w:fldChar w:fldCharType="begin"/>
      </w:r>
      <w:r w:rsidRPr="00D02195">
        <w:rPr>
          <w:sz w:val="24"/>
          <w:szCs w:val="24"/>
        </w:rPr>
        <w:instrText xml:space="preserve"> PAGEREF _Toc294273137 \h </w:instrText>
      </w:r>
      <w:r w:rsidRPr="00D02195">
        <w:rPr>
          <w:sz w:val="24"/>
          <w:szCs w:val="24"/>
        </w:rPr>
      </w:r>
      <w:r w:rsidRPr="00D02195">
        <w:rPr>
          <w:sz w:val="24"/>
          <w:szCs w:val="24"/>
        </w:rPr>
        <w:fldChar w:fldCharType="separate"/>
      </w:r>
      <w:r w:rsidR="00D02195" w:rsidRPr="00D02195">
        <w:rPr>
          <w:sz w:val="24"/>
          <w:szCs w:val="24"/>
        </w:rPr>
        <w:t>4</w:t>
      </w:r>
      <w:r w:rsidRPr="00D02195">
        <w:rPr>
          <w:sz w:val="24"/>
          <w:szCs w:val="24"/>
        </w:rPr>
        <w:fldChar w:fldCharType="end"/>
      </w:r>
    </w:p>
    <w:p w14:paraId="79760377" w14:textId="77777777" w:rsidR="00233701" w:rsidRPr="00D02195" w:rsidRDefault="00233701" w:rsidP="00233701">
      <w:pPr>
        <w:pStyle w:val="TOC2"/>
        <w:tabs>
          <w:tab w:val="right" w:leader="dot" w:pos="9730"/>
        </w:tabs>
        <w:spacing w:line="360" w:lineRule="auto"/>
        <w:rPr>
          <w:rFonts w:asciiTheme="majorHAnsi" w:hAnsiTheme="majorHAnsi"/>
          <w:noProof/>
          <w:lang w:val="en-US" w:eastAsia="ja-JP"/>
        </w:rPr>
      </w:pPr>
      <w:r w:rsidRPr="00D02195">
        <w:rPr>
          <w:rFonts w:asciiTheme="majorHAnsi" w:hAnsiTheme="majorHAnsi"/>
          <w:noProof/>
        </w:rPr>
        <w:t>Sampling Methodology</w:t>
      </w:r>
      <w:r w:rsidRPr="00D02195">
        <w:rPr>
          <w:rFonts w:asciiTheme="majorHAnsi" w:hAnsiTheme="majorHAnsi"/>
          <w:noProof/>
        </w:rPr>
        <w:tab/>
      </w:r>
      <w:r w:rsidRPr="00D02195">
        <w:rPr>
          <w:rFonts w:asciiTheme="majorHAnsi" w:hAnsiTheme="majorHAnsi"/>
          <w:noProof/>
        </w:rPr>
        <w:fldChar w:fldCharType="begin"/>
      </w:r>
      <w:r w:rsidRPr="00D02195">
        <w:rPr>
          <w:rFonts w:asciiTheme="majorHAnsi" w:hAnsiTheme="majorHAnsi"/>
          <w:noProof/>
        </w:rPr>
        <w:instrText xml:space="preserve"> PAGEREF _Toc294273138 \h </w:instrText>
      </w:r>
      <w:r w:rsidRPr="00D02195">
        <w:rPr>
          <w:rFonts w:asciiTheme="majorHAnsi" w:hAnsiTheme="majorHAnsi"/>
          <w:noProof/>
        </w:rPr>
      </w:r>
      <w:r w:rsidRPr="00D02195">
        <w:rPr>
          <w:rFonts w:asciiTheme="majorHAnsi" w:hAnsiTheme="majorHAnsi"/>
          <w:noProof/>
        </w:rPr>
        <w:fldChar w:fldCharType="separate"/>
      </w:r>
      <w:r w:rsidR="00D02195" w:rsidRPr="00D02195">
        <w:rPr>
          <w:rFonts w:asciiTheme="majorHAnsi" w:hAnsiTheme="majorHAnsi"/>
          <w:noProof/>
        </w:rPr>
        <w:t>4</w:t>
      </w:r>
      <w:r w:rsidRPr="00D02195">
        <w:rPr>
          <w:rFonts w:asciiTheme="majorHAnsi" w:hAnsiTheme="majorHAnsi"/>
          <w:noProof/>
        </w:rPr>
        <w:fldChar w:fldCharType="end"/>
      </w:r>
    </w:p>
    <w:p w14:paraId="3F6FDDF9" w14:textId="77777777" w:rsidR="00233701" w:rsidRPr="00D02195" w:rsidRDefault="00233701" w:rsidP="00233701">
      <w:pPr>
        <w:pStyle w:val="TOC2"/>
        <w:tabs>
          <w:tab w:val="right" w:leader="dot" w:pos="9730"/>
        </w:tabs>
        <w:spacing w:line="360" w:lineRule="auto"/>
        <w:rPr>
          <w:rFonts w:asciiTheme="majorHAnsi" w:hAnsiTheme="majorHAnsi"/>
          <w:noProof/>
          <w:lang w:val="en-US" w:eastAsia="ja-JP"/>
        </w:rPr>
      </w:pPr>
      <w:r w:rsidRPr="00D02195">
        <w:rPr>
          <w:rFonts w:asciiTheme="majorHAnsi" w:hAnsiTheme="majorHAnsi"/>
          <w:noProof/>
        </w:rPr>
        <w:t>Survey Design</w:t>
      </w:r>
      <w:r w:rsidRPr="00D02195">
        <w:rPr>
          <w:rFonts w:asciiTheme="majorHAnsi" w:hAnsiTheme="majorHAnsi"/>
          <w:noProof/>
        </w:rPr>
        <w:tab/>
      </w:r>
      <w:r w:rsidRPr="00D02195">
        <w:rPr>
          <w:rFonts w:asciiTheme="majorHAnsi" w:hAnsiTheme="majorHAnsi"/>
          <w:noProof/>
        </w:rPr>
        <w:fldChar w:fldCharType="begin"/>
      </w:r>
      <w:r w:rsidRPr="00D02195">
        <w:rPr>
          <w:rFonts w:asciiTheme="majorHAnsi" w:hAnsiTheme="majorHAnsi"/>
          <w:noProof/>
        </w:rPr>
        <w:instrText xml:space="preserve"> PAGEREF _Toc294273139 \h </w:instrText>
      </w:r>
      <w:r w:rsidRPr="00D02195">
        <w:rPr>
          <w:rFonts w:asciiTheme="majorHAnsi" w:hAnsiTheme="majorHAnsi"/>
          <w:noProof/>
        </w:rPr>
      </w:r>
      <w:r w:rsidRPr="00D02195">
        <w:rPr>
          <w:rFonts w:asciiTheme="majorHAnsi" w:hAnsiTheme="majorHAnsi"/>
          <w:noProof/>
        </w:rPr>
        <w:fldChar w:fldCharType="separate"/>
      </w:r>
      <w:r w:rsidR="00D02195" w:rsidRPr="00D02195">
        <w:rPr>
          <w:rFonts w:asciiTheme="majorHAnsi" w:hAnsiTheme="majorHAnsi"/>
          <w:noProof/>
        </w:rPr>
        <w:t>6</w:t>
      </w:r>
      <w:r w:rsidRPr="00D02195">
        <w:rPr>
          <w:rFonts w:asciiTheme="majorHAnsi" w:hAnsiTheme="majorHAnsi"/>
          <w:noProof/>
        </w:rPr>
        <w:fldChar w:fldCharType="end"/>
      </w:r>
    </w:p>
    <w:p w14:paraId="41A3691B" w14:textId="77777777" w:rsidR="00233701" w:rsidRPr="00D02195" w:rsidRDefault="00233701" w:rsidP="00233701">
      <w:pPr>
        <w:pStyle w:val="TOC2"/>
        <w:tabs>
          <w:tab w:val="right" w:leader="dot" w:pos="9730"/>
        </w:tabs>
        <w:spacing w:line="360" w:lineRule="auto"/>
        <w:rPr>
          <w:rFonts w:asciiTheme="majorHAnsi" w:hAnsiTheme="majorHAnsi"/>
          <w:noProof/>
          <w:lang w:val="en-US" w:eastAsia="ja-JP"/>
        </w:rPr>
      </w:pPr>
      <w:r w:rsidRPr="00D02195">
        <w:rPr>
          <w:rFonts w:asciiTheme="majorHAnsi" w:hAnsiTheme="majorHAnsi"/>
          <w:noProof/>
        </w:rPr>
        <w:t>Training of Enumerators</w:t>
      </w:r>
      <w:r w:rsidRPr="00D02195">
        <w:rPr>
          <w:rFonts w:asciiTheme="majorHAnsi" w:hAnsiTheme="majorHAnsi"/>
          <w:noProof/>
        </w:rPr>
        <w:tab/>
      </w:r>
      <w:r w:rsidRPr="00D02195">
        <w:rPr>
          <w:rFonts w:asciiTheme="majorHAnsi" w:hAnsiTheme="majorHAnsi"/>
          <w:noProof/>
        </w:rPr>
        <w:fldChar w:fldCharType="begin"/>
      </w:r>
      <w:r w:rsidRPr="00D02195">
        <w:rPr>
          <w:rFonts w:asciiTheme="majorHAnsi" w:hAnsiTheme="majorHAnsi"/>
          <w:noProof/>
        </w:rPr>
        <w:instrText xml:space="preserve"> PAGEREF _Toc294273140 \h </w:instrText>
      </w:r>
      <w:r w:rsidRPr="00D02195">
        <w:rPr>
          <w:rFonts w:asciiTheme="majorHAnsi" w:hAnsiTheme="majorHAnsi"/>
          <w:noProof/>
        </w:rPr>
      </w:r>
      <w:r w:rsidRPr="00D02195">
        <w:rPr>
          <w:rFonts w:asciiTheme="majorHAnsi" w:hAnsiTheme="majorHAnsi"/>
          <w:noProof/>
        </w:rPr>
        <w:fldChar w:fldCharType="separate"/>
      </w:r>
      <w:r w:rsidR="00D02195" w:rsidRPr="00D02195">
        <w:rPr>
          <w:rFonts w:asciiTheme="majorHAnsi" w:hAnsiTheme="majorHAnsi"/>
          <w:noProof/>
        </w:rPr>
        <w:t>7</w:t>
      </w:r>
      <w:r w:rsidRPr="00D02195">
        <w:rPr>
          <w:rFonts w:asciiTheme="majorHAnsi" w:hAnsiTheme="majorHAnsi"/>
          <w:noProof/>
        </w:rPr>
        <w:fldChar w:fldCharType="end"/>
      </w:r>
    </w:p>
    <w:p w14:paraId="35040DDF" w14:textId="77777777" w:rsidR="00233701" w:rsidRPr="00D02195" w:rsidRDefault="00233701" w:rsidP="00233701">
      <w:pPr>
        <w:pStyle w:val="TOC2"/>
        <w:tabs>
          <w:tab w:val="right" w:leader="dot" w:pos="9730"/>
        </w:tabs>
        <w:spacing w:line="360" w:lineRule="auto"/>
        <w:rPr>
          <w:rFonts w:asciiTheme="majorHAnsi" w:hAnsiTheme="majorHAnsi"/>
          <w:noProof/>
          <w:lang w:val="en-US" w:eastAsia="ja-JP"/>
        </w:rPr>
      </w:pPr>
      <w:r w:rsidRPr="00D02195">
        <w:rPr>
          <w:rFonts w:asciiTheme="majorHAnsi" w:hAnsiTheme="majorHAnsi"/>
          <w:noProof/>
        </w:rPr>
        <w:t>Data Collection</w:t>
      </w:r>
      <w:r w:rsidRPr="00D02195">
        <w:rPr>
          <w:rFonts w:asciiTheme="majorHAnsi" w:hAnsiTheme="majorHAnsi"/>
          <w:noProof/>
        </w:rPr>
        <w:tab/>
      </w:r>
      <w:r w:rsidRPr="00D02195">
        <w:rPr>
          <w:rFonts w:asciiTheme="majorHAnsi" w:hAnsiTheme="majorHAnsi"/>
          <w:noProof/>
        </w:rPr>
        <w:fldChar w:fldCharType="begin"/>
      </w:r>
      <w:r w:rsidRPr="00D02195">
        <w:rPr>
          <w:rFonts w:asciiTheme="majorHAnsi" w:hAnsiTheme="majorHAnsi"/>
          <w:noProof/>
        </w:rPr>
        <w:instrText xml:space="preserve"> PAGEREF _Toc294273141 \h </w:instrText>
      </w:r>
      <w:r w:rsidRPr="00D02195">
        <w:rPr>
          <w:rFonts w:asciiTheme="majorHAnsi" w:hAnsiTheme="majorHAnsi"/>
          <w:noProof/>
        </w:rPr>
      </w:r>
      <w:r w:rsidRPr="00D02195">
        <w:rPr>
          <w:rFonts w:asciiTheme="majorHAnsi" w:hAnsiTheme="majorHAnsi"/>
          <w:noProof/>
        </w:rPr>
        <w:fldChar w:fldCharType="separate"/>
      </w:r>
      <w:r w:rsidR="00D02195" w:rsidRPr="00D02195">
        <w:rPr>
          <w:rFonts w:asciiTheme="majorHAnsi" w:hAnsiTheme="majorHAnsi"/>
          <w:noProof/>
        </w:rPr>
        <w:t>7</w:t>
      </w:r>
      <w:r w:rsidRPr="00D02195">
        <w:rPr>
          <w:rFonts w:asciiTheme="majorHAnsi" w:hAnsiTheme="majorHAnsi"/>
          <w:noProof/>
        </w:rPr>
        <w:fldChar w:fldCharType="end"/>
      </w:r>
    </w:p>
    <w:p w14:paraId="7794EE6A" w14:textId="77777777" w:rsidR="00233701" w:rsidRPr="00D02195" w:rsidRDefault="00233701" w:rsidP="00233701">
      <w:pPr>
        <w:pStyle w:val="TOC2"/>
        <w:tabs>
          <w:tab w:val="right" w:leader="dot" w:pos="9730"/>
        </w:tabs>
        <w:spacing w:line="360" w:lineRule="auto"/>
        <w:rPr>
          <w:rFonts w:asciiTheme="majorHAnsi" w:hAnsiTheme="majorHAnsi"/>
          <w:noProof/>
          <w:lang w:val="en-US" w:eastAsia="ja-JP"/>
        </w:rPr>
      </w:pPr>
      <w:r w:rsidRPr="00D02195">
        <w:rPr>
          <w:rFonts w:asciiTheme="majorHAnsi" w:hAnsiTheme="majorHAnsi"/>
          <w:noProof/>
        </w:rPr>
        <w:t>Data Input</w:t>
      </w:r>
      <w:r w:rsidRPr="00D02195">
        <w:rPr>
          <w:rFonts w:asciiTheme="majorHAnsi" w:hAnsiTheme="majorHAnsi"/>
          <w:noProof/>
        </w:rPr>
        <w:tab/>
      </w:r>
      <w:r w:rsidRPr="00D02195">
        <w:rPr>
          <w:rFonts w:asciiTheme="majorHAnsi" w:hAnsiTheme="majorHAnsi"/>
          <w:noProof/>
        </w:rPr>
        <w:fldChar w:fldCharType="begin"/>
      </w:r>
      <w:r w:rsidRPr="00D02195">
        <w:rPr>
          <w:rFonts w:asciiTheme="majorHAnsi" w:hAnsiTheme="majorHAnsi"/>
          <w:noProof/>
        </w:rPr>
        <w:instrText xml:space="preserve"> PAGEREF _Toc294273142 \h </w:instrText>
      </w:r>
      <w:r w:rsidRPr="00D02195">
        <w:rPr>
          <w:rFonts w:asciiTheme="majorHAnsi" w:hAnsiTheme="majorHAnsi"/>
          <w:noProof/>
        </w:rPr>
      </w:r>
      <w:r w:rsidRPr="00D02195">
        <w:rPr>
          <w:rFonts w:asciiTheme="majorHAnsi" w:hAnsiTheme="majorHAnsi"/>
          <w:noProof/>
        </w:rPr>
        <w:fldChar w:fldCharType="separate"/>
      </w:r>
      <w:r w:rsidR="00D02195" w:rsidRPr="00D02195">
        <w:rPr>
          <w:rFonts w:asciiTheme="majorHAnsi" w:hAnsiTheme="majorHAnsi"/>
          <w:noProof/>
        </w:rPr>
        <w:t>7</w:t>
      </w:r>
      <w:r w:rsidRPr="00D02195">
        <w:rPr>
          <w:rFonts w:asciiTheme="majorHAnsi" w:hAnsiTheme="majorHAnsi"/>
          <w:noProof/>
        </w:rPr>
        <w:fldChar w:fldCharType="end"/>
      </w:r>
    </w:p>
    <w:p w14:paraId="278B4083" w14:textId="1F96515A" w:rsidR="00233701" w:rsidRPr="00D02195" w:rsidRDefault="005C28F7" w:rsidP="00233701">
      <w:pPr>
        <w:pStyle w:val="TOC1"/>
        <w:tabs>
          <w:tab w:val="left" w:pos="463"/>
        </w:tabs>
        <w:rPr>
          <w:b w:val="0"/>
          <w:sz w:val="24"/>
          <w:szCs w:val="24"/>
          <w:lang w:val="en-US" w:eastAsia="ja-JP"/>
        </w:rPr>
      </w:pPr>
      <w:r>
        <w:rPr>
          <w:sz w:val="24"/>
          <w:szCs w:val="24"/>
        </w:rPr>
        <w:t>04</w:t>
      </w:r>
      <w:r w:rsidR="00233701" w:rsidRPr="00D02195">
        <w:rPr>
          <w:b w:val="0"/>
          <w:sz w:val="24"/>
          <w:szCs w:val="24"/>
          <w:lang w:val="en-US" w:eastAsia="ja-JP"/>
        </w:rPr>
        <w:tab/>
      </w:r>
      <w:r w:rsidR="00233701" w:rsidRPr="00D02195">
        <w:rPr>
          <w:sz w:val="24"/>
          <w:szCs w:val="24"/>
        </w:rPr>
        <w:t>Limitations and Constraints</w:t>
      </w:r>
      <w:r w:rsidR="00233701" w:rsidRPr="00D02195">
        <w:rPr>
          <w:sz w:val="24"/>
          <w:szCs w:val="24"/>
        </w:rPr>
        <w:tab/>
      </w:r>
      <w:r w:rsidR="00233701" w:rsidRPr="00D02195">
        <w:rPr>
          <w:sz w:val="24"/>
          <w:szCs w:val="24"/>
        </w:rPr>
        <w:fldChar w:fldCharType="begin"/>
      </w:r>
      <w:r w:rsidR="00233701" w:rsidRPr="00D02195">
        <w:rPr>
          <w:sz w:val="24"/>
          <w:szCs w:val="24"/>
        </w:rPr>
        <w:instrText xml:space="preserve"> PAGEREF _Toc294273143 \h </w:instrText>
      </w:r>
      <w:r w:rsidR="00233701" w:rsidRPr="00D02195">
        <w:rPr>
          <w:sz w:val="24"/>
          <w:szCs w:val="24"/>
        </w:rPr>
      </w:r>
      <w:r w:rsidR="00233701" w:rsidRPr="00D02195">
        <w:rPr>
          <w:sz w:val="24"/>
          <w:szCs w:val="24"/>
        </w:rPr>
        <w:fldChar w:fldCharType="separate"/>
      </w:r>
      <w:r w:rsidR="00D02195" w:rsidRPr="00D02195">
        <w:rPr>
          <w:sz w:val="24"/>
          <w:szCs w:val="24"/>
        </w:rPr>
        <w:t>8</w:t>
      </w:r>
      <w:r w:rsidR="00233701" w:rsidRPr="00D02195">
        <w:rPr>
          <w:sz w:val="24"/>
          <w:szCs w:val="24"/>
        </w:rPr>
        <w:fldChar w:fldCharType="end"/>
      </w:r>
    </w:p>
    <w:p w14:paraId="24369990" w14:textId="77777777" w:rsidR="00233701" w:rsidRPr="00D02195" w:rsidRDefault="00233701" w:rsidP="00233701">
      <w:pPr>
        <w:pStyle w:val="TOC1"/>
        <w:tabs>
          <w:tab w:val="left" w:pos="463"/>
        </w:tabs>
        <w:rPr>
          <w:b w:val="0"/>
          <w:sz w:val="24"/>
          <w:szCs w:val="24"/>
          <w:lang w:val="en-US" w:eastAsia="ja-JP"/>
        </w:rPr>
      </w:pPr>
      <w:r w:rsidRPr="00D02195">
        <w:rPr>
          <w:sz w:val="24"/>
          <w:szCs w:val="24"/>
        </w:rPr>
        <w:t>05</w:t>
      </w:r>
      <w:r w:rsidRPr="00D02195">
        <w:rPr>
          <w:b w:val="0"/>
          <w:sz w:val="24"/>
          <w:szCs w:val="24"/>
          <w:lang w:val="en-US" w:eastAsia="ja-JP"/>
        </w:rPr>
        <w:tab/>
      </w:r>
      <w:r w:rsidRPr="00D02195">
        <w:rPr>
          <w:sz w:val="24"/>
          <w:szCs w:val="24"/>
        </w:rPr>
        <w:t>Results and Findings</w:t>
      </w:r>
      <w:r w:rsidRPr="00D02195">
        <w:rPr>
          <w:sz w:val="24"/>
          <w:szCs w:val="24"/>
        </w:rPr>
        <w:tab/>
      </w:r>
      <w:r w:rsidRPr="00D02195">
        <w:rPr>
          <w:sz w:val="24"/>
          <w:szCs w:val="24"/>
        </w:rPr>
        <w:fldChar w:fldCharType="begin"/>
      </w:r>
      <w:r w:rsidRPr="00D02195">
        <w:rPr>
          <w:sz w:val="24"/>
          <w:szCs w:val="24"/>
        </w:rPr>
        <w:instrText xml:space="preserve"> PAGEREF _Toc294273144 \h </w:instrText>
      </w:r>
      <w:r w:rsidRPr="00D02195">
        <w:rPr>
          <w:sz w:val="24"/>
          <w:szCs w:val="24"/>
        </w:rPr>
      </w:r>
      <w:r w:rsidRPr="00D02195">
        <w:rPr>
          <w:sz w:val="24"/>
          <w:szCs w:val="24"/>
        </w:rPr>
        <w:fldChar w:fldCharType="separate"/>
      </w:r>
      <w:r w:rsidR="00D02195" w:rsidRPr="00D02195">
        <w:rPr>
          <w:sz w:val="24"/>
          <w:szCs w:val="24"/>
        </w:rPr>
        <w:t>9</w:t>
      </w:r>
      <w:r w:rsidRPr="00D02195">
        <w:rPr>
          <w:sz w:val="24"/>
          <w:szCs w:val="24"/>
        </w:rPr>
        <w:fldChar w:fldCharType="end"/>
      </w:r>
    </w:p>
    <w:p w14:paraId="5DADF716" w14:textId="77777777" w:rsidR="00233701" w:rsidRPr="00D02195" w:rsidRDefault="00233701" w:rsidP="00233701">
      <w:pPr>
        <w:pStyle w:val="TOC2"/>
        <w:tabs>
          <w:tab w:val="right" w:leader="dot" w:pos="9730"/>
        </w:tabs>
        <w:spacing w:line="360" w:lineRule="auto"/>
        <w:rPr>
          <w:rFonts w:asciiTheme="majorHAnsi" w:hAnsiTheme="majorHAnsi"/>
          <w:noProof/>
          <w:lang w:val="en-US" w:eastAsia="ja-JP"/>
        </w:rPr>
      </w:pPr>
      <w:r w:rsidRPr="00D02195">
        <w:rPr>
          <w:rFonts w:asciiTheme="majorHAnsi" w:hAnsiTheme="majorHAnsi"/>
          <w:noProof/>
        </w:rPr>
        <w:t>DEMOGRAPHICS</w:t>
      </w:r>
      <w:r w:rsidRPr="00D02195">
        <w:rPr>
          <w:rFonts w:asciiTheme="majorHAnsi" w:hAnsiTheme="majorHAnsi"/>
          <w:noProof/>
        </w:rPr>
        <w:tab/>
      </w:r>
      <w:r w:rsidRPr="00D02195">
        <w:rPr>
          <w:rFonts w:asciiTheme="majorHAnsi" w:hAnsiTheme="majorHAnsi"/>
          <w:noProof/>
        </w:rPr>
        <w:fldChar w:fldCharType="begin"/>
      </w:r>
      <w:r w:rsidRPr="00D02195">
        <w:rPr>
          <w:rFonts w:asciiTheme="majorHAnsi" w:hAnsiTheme="majorHAnsi"/>
          <w:noProof/>
        </w:rPr>
        <w:instrText xml:space="preserve"> PAGEREF _Toc294273145 \h </w:instrText>
      </w:r>
      <w:r w:rsidRPr="00D02195">
        <w:rPr>
          <w:rFonts w:asciiTheme="majorHAnsi" w:hAnsiTheme="majorHAnsi"/>
          <w:noProof/>
        </w:rPr>
      </w:r>
      <w:r w:rsidRPr="00D02195">
        <w:rPr>
          <w:rFonts w:asciiTheme="majorHAnsi" w:hAnsiTheme="majorHAnsi"/>
          <w:noProof/>
        </w:rPr>
        <w:fldChar w:fldCharType="separate"/>
      </w:r>
      <w:r w:rsidR="00D02195" w:rsidRPr="00D02195">
        <w:rPr>
          <w:rFonts w:asciiTheme="majorHAnsi" w:hAnsiTheme="majorHAnsi"/>
          <w:noProof/>
        </w:rPr>
        <w:t>9</w:t>
      </w:r>
      <w:r w:rsidRPr="00D02195">
        <w:rPr>
          <w:rFonts w:asciiTheme="majorHAnsi" w:hAnsiTheme="majorHAnsi"/>
          <w:noProof/>
        </w:rPr>
        <w:fldChar w:fldCharType="end"/>
      </w:r>
    </w:p>
    <w:p w14:paraId="75ECF5A9" w14:textId="77777777" w:rsidR="00233701" w:rsidRPr="00D02195" w:rsidRDefault="00233701" w:rsidP="00233701">
      <w:pPr>
        <w:pStyle w:val="TOC2"/>
        <w:tabs>
          <w:tab w:val="right" w:leader="dot" w:pos="9730"/>
        </w:tabs>
        <w:spacing w:line="360" w:lineRule="auto"/>
        <w:rPr>
          <w:rFonts w:asciiTheme="majorHAnsi" w:hAnsiTheme="majorHAnsi"/>
          <w:noProof/>
          <w:lang w:val="en-US" w:eastAsia="ja-JP"/>
        </w:rPr>
      </w:pPr>
      <w:r w:rsidRPr="00D02195">
        <w:rPr>
          <w:rFonts w:asciiTheme="majorHAnsi" w:hAnsiTheme="majorHAnsi"/>
          <w:noProof/>
        </w:rPr>
        <w:t>WATER ACCESS AND DIARRHOEA</w:t>
      </w:r>
      <w:r w:rsidRPr="00D02195">
        <w:rPr>
          <w:rFonts w:asciiTheme="majorHAnsi" w:hAnsiTheme="majorHAnsi"/>
          <w:noProof/>
        </w:rPr>
        <w:tab/>
      </w:r>
      <w:r w:rsidRPr="00D02195">
        <w:rPr>
          <w:rFonts w:asciiTheme="majorHAnsi" w:hAnsiTheme="majorHAnsi"/>
          <w:noProof/>
        </w:rPr>
        <w:fldChar w:fldCharType="begin"/>
      </w:r>
      <w:r w:rsidRPr="00D02195">
        <w:rPr>
          <w:rFonts w:asciiTheme="majorHAnsi" w:hAnsiTheme="majorHAnsi"/>
          <w:noProof/>
        </w:rPr>
        <w:instrText xml:space="preserve"> PAGEREF _Toc294273146 \h </w:instrText>
      </w:r>
      <w:r w:rsidRPr="00D02195">
        <w:rPr>
          <w:rFonts w:asciiTheme="majorHAnsi" w:hAnsiTheme="majorHAnsi"/>
          <w:noProof/>
        </w:rPr>
      </w:r>
      <w:r w:rsidRPr="00D02195">
        <w:rPr>
          <w:rFonts w:asciiTheme="majorHAnsi" w:hAnsiTheme="majorHAnsi"/>
          <w:noProof/>
        </w:rPr>
        <w:fldChar w:fldCharType="separate"/>
      </w:r>
      <w:r w:rsidR="00D02195" w:rsidRPr="00D02195">
        <w:rPr>
          <w:rFonts w:asciiTheme="majorHAnsi" w:hAnsiTheme="majorHAnsi"/>
          <w:noProof/>
        </w:rPr>
        <w:t>10</w:t>
      </w:r>
      <w:r w:rsidRPr="00D02195">
        <w:rPr>
          <w:rFonts w:asciiTheme="majorHAnsi" w:hAnsiTheme="majorHAnsi"/>
          <w:noProof/>
        </w:rPr>
        <w:fldChar w:fldCharType="end"/>
      </w:r>
    </w:p>
    <w:p w14:paraId="1E99391A" w14:textId="77777777" w:rsidR="00233701" w:rsidRPr="00D02195" w:rsidRDefault="00233701" w:rsidP="00233701">
      <w:pPr>
        <w:pStyle w:val="TOC2"/>
        <w:tabs>
          <w:tab w:val="right" w:leader="dot" w:pos="9730"/>
        </w:tabs>
        <w:spacing w:line="360" w:lineRule="auto"/>
        <w:rPr>
          <w:rFonts w:asciiTheme="majorHAnsi" w:hAnsiTheme="majorHAnsi"/>
          <w:noProof/>
          <w:lang w:val="en-US" w:eastAsia="ja-JP"/>
        </w:rPr>
      </w:pPr>
      <w:r w:rsidRPr="00D02195">
        <w:rPr>
          <w:rFonts w:asciiTheme="majorHAnsi" w:hAnsiTheme="majorHAnsi"/>
          <w:noProof/>
        </w:rPr>
        <w:t>CERAMIC WATER FILTERS</w:t>
      </w:r>
      <w:r w:rsidRPr="00D02195">
        <w:rPr>
          <w:rFonts w:asciiTheme="majorHAnsi" w:hAnsiTheme="majorHAnsi"/>
          <w:noProof/>
        </w:rPr>
        <w:tab/>
      </w:r>
      <w:r w:rsidRPr="00D02195">
        <w:rPr>
          <w:rFonts w:asciiTheme="majorHAnsi" w:hAnsiTheme="majorHAnsi"/>
          <w:noProof/>
        </w:rPr>
        <w:fldChar w:fldCharType="begin"/>
      </w:r>
      <w:r w:rsidRPr="00D02195">
        <w:rPr>
          <w:rFonts w:asciiTheme="majorHAnsi" w:hAnsiTheme="majorHAnsi"/>
          <w:noProof/>
        </w:rPr>
        <w:instrText xml:space="preserve"> PAGEREF _Toc294273147 \h </w:instrText>
      </w:r>
      <w:r w:rsidRPr="00D02195">
        <w:rPr>
          <w:rFonts w:asciiTheme="majorHAnsi" w:hAnsiTheme="majorHAnsi"/>
          <w:noProof/>
        </w:rPr>
      </w:r>
      <w:r w:rsidRPr="00D02195">
        <w:rPr>
          <w:rFonts w:asciiTheme="majorHAnsi" w:hAnsiTheme="majorHAnsi"/>
          <w:noProof/>
        </w:rPr>
        <w:fldChar w:fldCharType="separate"/>
      </w:r>
      <w:r w:rsidR="00D02195" w:rsidRPr="00D02195">
        <w:rPr>
          <w:rFonts w:asciiTheme="majorHAnsi" w:hAnsiTheme="majorHAnsi"/>
          <w:noProof/>
        </w:rPr>
        <w:t>15</w:t>
      </w:r>
      <w:r w:rsidRPr="00D02195">
        <w:rPr>
          <w:rFonts w:asciiTheme="majorHAnsi" w:hAnsiTheme="majorHAnsi"/>
          <w:noProof/>
        </w:rPr>
        <w:fldChar w:fldCharType="end"/>
      </w:r>
    </w:p>
    <w:p w14:paraId="773052B7" w14:textId="77777777" w:rsidR="00233701" w:rsidRPr="00D02195" w:rsidRDefault="00233701" w:rsidP="00233701">
      <w:pPr>
        <w:pStyle w:val="TOC2"/>
        <w:tabs>
          <w:tab w:val="right" w:leader="dot" w:pos="9730"/>
        </w:tabs>
        <w:spacing w:line="360" w:lineRule="auto"/>
        <w:rPr>
          <w:rFonts w:asciiTheme="majorHAnsi" w:hAnsiTheme="majorHAnsi"/>
          <w:noProof/>
          <w:lang w:val="en-US" w:eastAsia="ja-JP"/>
        </w:rPr>
      </w:pPr>
      <w:r w:rsidRPr="00D02195">
        <w:rPr>
          <w:rFonts w:asciiTheme="majorHAnsi" w:hAnsiTheme="majorHAnsi"/>
          <w:noProof/>
        </w:rPr>
        <w:t>HANDWASHING BEHAVIOURS</w:t>
      </w:r>
      <w:r w:rsidRPr="00D02195">
        <w:rPr>
          <w:rFonts w:asciiTheme="majorHAnsi" w:hAnsiTheme="majorHAnsi"/>
          <w:noProof/>
        </w:rPr>
        <w:tab/>
      </w:r>
      <w:r w:rsidRPr="00D02195">
        <w:rPr>
          <w:rFonts w:asciiTheme="majorHAnsi" w:hAnsiTheme="majorHAnsi"/>
          <w:noProof/>
        </w:rPr>
        <w:fldChar w:fldCharType="begin"/>
      </w:r>
      <w:r w:rsidRPr="00D02195">
        <w:rPr>
          <w:rFonts w:asciiTheme="majorHAnsi" w:hAnsiTheme="majorHAnsi"/>
          <w:noProof/>
        </w:rPr>
        <w:instrText xml:space="preserve"> PAGEREF _Toc294273148 \h </w:instrText>
      </w:r>
      <w:r w:rsidRPr="00D02195">
        <w:rPr>
          <w:rFonts w:asciiTheme="majorHAnsi" w:hAnsiTheme="majorHAnsi"/>
          <w:noProof/>
        </w:rPr>
      </w:r>
      <w:r w:rsidRPr="00D02195">
        <w:rPr>
          <w:rFonts w:asciiTheme="majorHAnsi" w:hAnsiTheme="majorHAnsi"/>
          <w:noProof/>
        </w:rPr>
        <w:fldChar w:fldCharType="separate"/>
      </w:r>
      <w:r w:rsidR="00D02195" w:rsidRPr="00D02195">
        <w:rPr>
          <w:rFonts w:asciiTheme="majorHAnsi" w:hAnsiTheme="majorHAnsi"/>
          <w:noProof/>
        </w:rPr>
        <w:t>18</w:t>
      </w:r>
      <w:r w:rsidRPr="00D02195">
        <w:rPr>
          <w:rFonts w:asciiTheme="majorHAnsi" w:hAnsiTheme="majorHAnsi"/>
          <w:noProof/>
        </w:rPr>
        <w:fldChar w:fldCharType="end"/>
      </w:r>
    </w:p>
    <w:p w14:paraId="13E22022" w14:textId="77777777" w:rsidR="00233701" w:rsidRPr="00D02195" w:rsidRDefault="00233701" w:rsidP="00233701">
      <w:pPr>
        <w:pStyle w:val="TOC2"/>
        <w:tabs>
          <w:tab w:val="right" w:leader="dot" w:pos="9730"/>
        </w:tabs>
        <w:spacing w:line="360" w:lineRule="auto"/>
        <w:rPr>
          <w:rFonts w:asciiTheme="majorHAnsi" w:hAnsiTheme="majorHAnsi"/>
          <w:noProof/>
          <w:lang w:val="en-US" w:eastAsia="ja-JP"/>
        </w:rPr>
      </w:pPr>
      <w:r w:rsidRPr="00D02195">
        <w:rPr>
          <w:rFonts w:asciiTheme="majorHAnsi" w:hAnsiTheme="majorHAnsi"/>
          <w:noProof/>
        </w:rPr>
        <w:t>FOOD HYGIENE</w:t>
      </w:r>
      <w:r w:rsidRPr="00D02195">
        <w:rPr>
          <w:rFonts w:asciiTheme="majorHAnsi" w:hAnsiTheme="majorHAnsi"/>
          <w:noProof/>
        </w:rPr>
        <w:tab/>
      </w:r>
      <w:r w:rsidRPr="00D02195">
        <w:rPr>
          <w:rFonts w:asciiTheme="majorHAnsi" w:hAnsiTheme="majorHAnsi"/>
          <w:noProof/>
        </w:rPr>
        <w:fldChar w:fldCharType="begin"/>
      </w:r>
      <w:r w:rsidRPr="00D02195">
        <w:rPr>
          <w:rFonts w:asciiTheme="majorHAnsi" w:hAnsiTheme="majorHAnsi"/>
          <w:noProof/>
        </w:rPr>
        <w:instrText xml:space="preserve"> PAGEREF _Toc294273149 \h </w:instrText>
      </w:r>
      <w:r w:rsidRPr="00D02195">
        <w:rPr>
          <w:rFonts w:asciiTheme="majorHAnsi" w:hAnsiTheme="majorHAnsi"/>
          <w:noProof/>
        </w:rPr>
      </w:r>
      <w:r w:rsidRPr="00D02195">
        <w:rPr>
          <w:rFonts w:asciiTheme="majorHAnsi" w:hAnsiTheme="majorHAnsi"/>
          <w:noProof/>
        </w:rPr>
        <w:fldChar w:fldCharType="separate"/>
      </w:r>
      <w:r w:rsidR="00D02195" w:rsidRPr="00D02195">
        <w:rPr>
          <w:rFonts w:asciiTheme="majorHAnsi" w:hAnsiTheme="majorHAnsi"/>
          <w:noProof/>
        </w:rPr>
        <w:t>20</w:t>
      </w:r>
      <w:r w:rsidRPr="00D02195">
        <w:rPr>
          <w:rFonts w:asciiTheme="majorHAnsi" w:hAnsiTheme="majorHAnsi"/>
          <w:noProof/>
        </w:rPr>
        <w:fldChar w:fldCharType="end"/>
      </w:r>
    </w:p>
    <w:p w14:paraId="64F77052" w14:textId="77777777" w:rsidR="00233701" w:rsidRPr="00D02195" w:rsidRDefault="00233701" w:rsidP="00233701">
      <w:pPr>
        <w:pStyle w:val="TOC2"/>
        <w:tabs>
          <w:tab w:val="right" w:leader="dot" w:pos="9730"/>
        </w:tabs>
        <w:spacing w:line="360" w:lineRule="auto"/>
        <w:rPr>
          <w:rFonts w:asciiTheme="majorHAnsi" w:hAnsiTheme="majorHAnsi"/>
          <w:noProof/>
          <w:lang w:val="en-US" w:eastAsia="ja-JP"/>
        </w:rPr>
      </w:pPr>
      <w:r w:rsidRPr="00D02195">
        <w:rPr>
          <w:rFonts w:asciiTheme="majorHAnsi" w:hAnsiTheme="majorHAnsi"/>
          <w:noProof/>
        </w:rPr>
        <w:t>SANITATION PRACTICES</w:t>
      </w:r>
      <w:r w:rsidRPr="00D02195">
        <w:rPr>
          <w:rFonts w:asciiTheme="majorHAnsi" w:hAnsiTheme="majorHAnsi"/>
          <w:noProof/>
        </w:rPr>
        <w:tab/>
      </w:r>
      <w:r w:rsidRPr="00D02195">
        <w:rPr>
          <w:rFonts w:asciiTheme="majorHAnsi" w:hAnsiTheme="majorHAnsi"/>
          <w:noProof/>
        </w:rPr>
        <w:fldChar w:fldCharType="begin"/>
      </w:r>
      <w:r w:rsidRPr="00D02195">
        <w:rPr>
          <w:rFonts w:asciiTheme="majorHAnsi" w:hAnsiTheme="majorHAnsi"/>
          <w:noProof/>
        </w:rPr>
        <w:instrText xml:space="preserve"> PAGEREF _Toc294273150 \h </w:instrText>
      </w:r>
      <w:r w:rsidRPr="00D02195">
        <w:rPr>
          <w:rFonts w:asciiTheme="majorHAnsi" w:hAnsiTheme="majorHAnsi"/>
          <w:noProof/>
        </w:rPr>
      </w:r>
      <w:r w:rsidRPr="00D02195">
        <w:rPr>
          <w:rFonts w:asciiTheme="majorHAnsi" w:hAnsiTheme="majorHAnsi"/>
          <w:noProof/>
        </w:rPr>
        <w:fldChar w:fldCharType="separate"/>
      </w:r>
      <w:r w:rsidR="00D02195" w:rsidRPr="00D02195">
        <w:rPr>
          <w:rFonts w:asciiTheme="majorHAnsi" w:hAnsiTheme="majorHAnsi"/>
          <w:noProof/>
        </w:rPr>
        <w:t>21</w:t>
      </w:r>
      <w:r w:rsidRPr="00D02195">
        <w:rPr>
          <w:rFonts w:asciiTheme="majorHAnsi" w:hAnsiTheme="majorHAnsi"/>
          <w:noProof/>
        </w:rPr>
        <w:fldChar w:fldCharType="end"/>
      </w:r>
    </w:p>
    <w:p w14:paraId="039CEDEF" w14:textId="77777777" w:rsidR="00233701" w:rsidRPr="00D02195" w:rsidRDefault="00233701" w:rsidP="00233701">
      <w:pPr>
        <w:pStyle w:val="TOC2"/>
        <w:tabs>
          <w:tab w:val="right" w:leader="dot" w:pos="9730"/>
        </w:tabs>
        <w:spacing w:line="360" w:lineRule="auto"/>
        <w:rPr>
          <w:rFonts w:asciiTheme="majorHAnsi" w:hAnsiTheme="majorHAnsi"/>
          <w:noProof/>
          <w:lang w:val="en-US" w:eastAsia="ja-JP"/>
        </w:rPr>
      </w:pPr>
      <w:r w:rsidRPr="00D02195">
        <w:rPr>
          <w:rFonts w:asciiTheme="majorHAnsi" w:hAnsiTheme="majorHAnsi"/>
          <w:noProof/>
        </w:rPr>
        <w:t>SOLID WASTE DISPOSAL</w:t>
      </w:r>
      <w:r w:rsidRPr="00D02195">
        <w:rPr>
          <w:rFonts w:asciiTheme="majorHAnsi" w:hAnsiTheme="majorHAnsi"/>
          <w:noProof/>
        </w:rPr>
        <w:tab/>
      </w:r>
      <w:r w:rsidRPr="00D02195">
        <w:rPr>
          <w:rFonts w:asciiTheme="majorHAnsi" w:hAnsiTheme="majorHAnsi"/>
          <w:noProof/>
        </w:rPr>
        <w:fldChar w:fldCharType="begin"/>
      </w:r>
      <w:r w:rsidRPr="00D02195">
        <w:rPr>
          <w:rFonts w:asciiTheme="majorHAnsi" w:hAnsiTheme="majorHAnsi"/>
          <w:noProof/>
        </w:rPr>
        <w:instrText xml:space="preserve"> PAGEREF _Toc294273151 \h </w:instrText>
      </w:r>
      <w:r w:rsidRPr="00D02195">
        <w:rPr>
          <w:rFonts w:asciiTheme="majorHAnsi" w:hAnsiTheme="majorHAnsi"/>
          <w:noProof/>
        </w:rPr>
      </w:r>
      <w:r w:rsidRPr="00D02195">
        <w:rPr>
          <w:rFonts w:asciiTheme="majorHAnsi" w:hAnsiTheme="majorHAnsi"/>
          <w:noProof/>
        </w:rPr>
        <w:fldChar w:fldCharType="separate"/>
      </w:r>
      <w:r w:rsidR="00D02195" w:rsidRPr="00D02195">
        <w:rPr>
          <w:rFonts w:asciiTheme="majorHAnsi" w:hAnsiTheme="majorHAnsi"/>
          <w:noProof/>
        </w:rPr>
        <w:t>24</w:t>
      </w:r>
      <w:r w:rsidRPr="00D02195">
        <w:rPr>
          <w:rFonts w:asciiTheme="majorHAnsi" w:hAnsiTheme="majorHAnsi"/>
          <w:noProof/>
        </w:rPr>
        <w:fldChar w:fldCharType="end"/>
      </w:r>
    </w:p>
    <w:p w14:paraId="36608BC5" w14:textId="77777777" w:rsidR="00233701" w:rsidRPr="00D02195" w:rsidRDefault="00233701" w:rsidP="00233701">
      <w:pPr>
        <w:pStyle w:val="TOC2"/>
        <w:tabs>
          <w:tab w:val="right" w:leader="dot" w:pos="9730"/>
        </w:tabs>
        <w:spacing w:line="360" w:lineRule="auto"/>
        <w:rPr>
          <w:rFonts w:asciiTheme="majorHAnsi" w:hAnsiTheme="majorHAnsi"/>
          <w:noProof/>
          <w:lang w:val="en-US" w:eastAsia="ja-JP"/>
        </w:rPr>
      </w:pPr>
      <w:r w:rsidRPr="00D02195">
        <w:rPr>
          <w:rFonts w:asciiTheme="majorHAnsi" w:hAnsiTheme="majorHAnsi"/>
          <w:noProof/>
        </w:rPr>
        <w:t>BATHING AREAS</w:t>
      </w:r>
      <w:r w:rsidRPr="00D02195">
        <w:rPr>
          <w:rFonts w:asciiTheme="majorHAnsi" w:hAnsiTheme="majorHAnsi"/>
          <w:noProof/>
        </w:rPr>
        <w:tab/>
      </w:r>
      <w:r w:rsidRPr="00D02195">
        <w:rPr>
          <w:rFonts w:asciiTheme="majorHAnsi" w:hAnsiTheme="majorHAnsi"/>
          <w:noProof/>
        </w:rPr>
        <w:fldChar w:fldCharType="begin"/>
      </w:r>
      <w:r w:rsidRPr="00D02195">
        <w:rPr>
          <w:rFonts w:asciiTheme="majorHAnsi" w:hAnsiTheme="majorHAnsi"/>
          <w:noProof/>
        </w:rPr>
        <w:instrText xml:space="preserve"> PAGEREF _Toc294273152 \h </w:instrText>
      </w:r>
      <w:r w:rsidRPr="00D02195">
        <w:rPr>
          <w:rFonts w:asciiTheme="majorHAnsi" w:hAnsiTheme="majorHAnsi"/>
          <w:noProof/>
        </w:rPr>
      </w:r>
      <w:r w:rsidRPr="00D02195">
        <w:rPr>
          <w:rFonts w:asciiTheme="majorHAnsi" w:hAnsiTheme="majorHAnsi"/>
          <w:noProof/>
        </w:rPr>
        <w:fldChar w:fldCharType="separate"/>
      </w:r>
      <w:r w:rsidR="00D02195" w:rsidRPr="00D02195">
        <w:rPr>
          <w:rFonts w:asciiTheme="majorHAnsi" w:hAnsiTheme="majorHAnsi"/>
          <w:noProof/>
        </w:rPr>
        <w:t>25</w:t>
      </w:r>
      <w:r w:rsidRPr="00D02195">
        <w:rPr>
          <w:rFonts w:asciiTheme="majorHAnsi" w:hAnsiTheme="majorHAnsi"/>
          <w:noProof/>
        </w:rPr>
        <w:fldChar w:fldCharType="end"/>
      </w:r>
    </w:p>
    <w:p w14:paraId="30DEC2E8" w14:textId="77777777" w:rsidR="00233701" w:rsidRPr="00D02195" w:rsidRDefault="00233701" w:rsidP="00233701">
      <w:pPr>
        <w:pStyle w:val="TOC2"/>
        <w:tabs>
          <w:tab w:val="right" w:leader="dot" w:pos="9730"/>
        </w:tabs>
        <w:spacing w:line="360" w:lineRule="auto"/>
        <w:rPr>
          <w:rFonts w:asciiTheme="majorHAnsi" w:hAnsiTheme="majorHAnsi"/>
          <w:noProof/>
          <w:lang w:val="en-US" w:eastAsia="ja-JP"/>
        </w:rPr>
      </w:pPr>
      <w:r w:rsidRPr="00D02195">
        <w:rPr>
          <w:rFonts w:asciiTheme="majorHAnsi" w:hAnsiTheme="majorHAnsi"/>
          <w:noProof/>
        </w:rPr>
        <w:t>MENSTRUAL HYGIENE</w:t>
      </w:r>
      <w:r w:rsidRPr="00D02195">
        <w:rPr>
          <w:rFonts w:asciiTheme="majorHAnsi" w:hAnsiTheme="majorHAnsi"/>
          <w:noProof/>
        </w:rPr>
        <w:tab/>
      </w:r>
      <w:r w:rsidRPr="00D02195">
        <w:rPr>
          <w:rFonts w:asciiTheme="majorHAnsi" w:hAnsiTheme="majorHAnsi"/>
          <w:noProof/>
        </w:rPr>
        <w:fldChar w:fldCharType="begin"/>
      </w:r>
      <w:r w:rsidRPr="00D02195">
        <w:rPr>
          <w:rFonts w:asciiTheme="majorHAnsi" w:hAnsiTheme="majorHAnsi"/>
          <w:noProof/>
        </w:rPr>
        <w:instrText xml:space="preserve"> PAGEREF _Toc294273153 \h </w:instrText>
      </w:r>
      <w:r w:rsidRPr="00D02195">
        <w:rPr>
          <w:rFonts w:asciiTheme="majorHAnsi" w:hAnsiTheme="majorHAnsi"/>
          <w:noProof/>
        </w:rPr>
      </w:r>
      <w:r w:rsidRPr="00D02195">
        <w:rPr>
          <w:rFonts w:asciiTheme="majorHAnsi" w:hAnsiTheme="majorHAnsi"/>
          <w:noProof/>
        </w:rPr>
        <w:fldChar w:fldCharType="separate"/>
      </w:r>
      <w:r w:rsidR="00D02195" w:rsidRPr="00D02195">
        <w:rPr>
          <w:rFonts w:asciiTheme="majorHAnsi" w:hAnsiTheme="majorHAnsi"/>
          <w:noProof/>
        </w:rPr>
        <w:t>26</w:t>
      </w:r>
      <w:r w:rsidRPr="00D02195">
        <w:rPr>
          <w:rFonts w:asciiTheme="majorHAnsi" w:hAnsiTheme="majorHAnsi"/>
          <w:noProof/>
        </w:rPr>
        <w:fldChar w:fldCharType="end"/>
      </w:r>
    </w:p>
    <w:p w14:paraId="6CE81CEA" w14:textId="77777777" w:rsidR="00233701" w:rsidRPr="00D02195" w:rsidRDefault="00233701" w:rsidP="00233701">
      <w:pPr>
        <w:pStyle w:val="TOC2"/>
        <w:tabs>
          <w:tab w:val="right" w:leader="dot" w:pos="9730"/>
        </w:tabs>
        <w:spacing w:line="360" w:lineRule="auto"/>
        <w:rPr>
          <w:rFonts w:asciiTheme="majorHAnsi" w:hAnsiTheme="majorHAnsi"/>
          <w:noProof/>
          <w:lang w:val="en-US" w:eastAsia="ja-JP"/>
        </w:rPr>
      </w:pPr>
      <w:r w:rsidRPr="00D02195">
        <w:rPr>
          <w:rFonts w:asciiTheme="majorHAnsi" w:hAnsiTheme="majorHAnsi"/>
          <w:noProof/>
        </w:rPr>
        <w:t>HOUSEHOLD SANITARY SURVEY</w:t>
      </w:r>
      <w:r w:rsidRPr="00D02195">
        <w:rPr>
          <w:rFonts w:asciiTheme="majorHAnsi" w:hAnsiTheme="majorHAnsi"/>
          <w:noProof/>
        </w:rPr>
        <w:tab/>
      </w:r>
      <w:r w:rsidRPr="00D02195">
        <w:rPr>
          <w:rFonts w:asciiTheme="majorHAnsi" w:hAnsiTheme="majorHAnsi"/>
          <w:noProof/>
        </w:rPr>
        <w:fldChar w:fldCharType="begin"/>
      </w:r>
      <w:r w:rsidRPr="00D02195">
        <w:rPr>
          <w:rFonts w:asciiTheme="majorHAnsi" w:hAnsiTheme="majorHAnsi"/>
          <w:noProof/>
        </w:rPr>
        <w:instrText xml:space="preserve"> PAGEREF _Toc294273154 \h </w:instrText>
      </w:r>
      <w:r w:rsidRPr="00D02195">
        <w:rPr>
          <w:rFonts w:asciiTheme="majorHAnsi" w:hAnsiTheme="majorHAnsi"/>
          <w:noProof/>
        </w:rPr>
      </w:r>
      <w:r w:rsidRPr="00D02195">
        <w:rPr>
          <w:rFonts w:asciiTheme="majorHAnsi" w:hAnsiTheme="majorHAnsi"/>
          <w:noProof/>
        </w:rPr>
        <w:fldChar w:fldCharType="separate"/>
      </w:r>
      <w:r w:rsidR="00D02195" w:rsidRPr="00D02195">
        <w:rPr>
          <w:rFonts w:asciiTheme="majorHAnsi" w:hAnsiTheme="majorHAnsi"/>
          <w:noProof/>
        </w:rPr>
        <w:t>28</w:t>
      </w:r>
      <w:r w:rsidRPr="00D02195">
        <w:rPr>
          <w:rFonts w:asciiTheme="majorHAnsi" w:hAnsiTheme="majorHAnsi"/>
          <w:noProof/>
        </w:rPr>
        <w:fldChar w:fldCharType="end"/>
      </w:r>
    </w:p>
    <w:p w14:paraId="1FAA26A9" w14:textId="469AE55F" w:rsidR="00233701" w:rsidRPr="00D02195" w:rsidRDefault="005C28F7" w:rsidP="00233701">
      <w:pPr>
        <w:pStyle w:val="TOC1"/>
        <w:tabs>
          <w:tab w:val="left" w:pos="463"/>
        </w:tabs>
        <w:rPr>
          <w:b w:val="0"/>
          <w:sz w:val="24"/>
          <w:szCs w:val="24"/>
          <w:lang w:val="en-US" w:eastAsia="ja-JP"/>
        </w:rPr>
      </w:pPr>
      <w:r>
        <w:rPr>
          <w:sz w:val="24"/>
          <w:szCs w:val="24"/>
        </w:rPr>
        <w:t>06</w:t>
      </w:r>
      <w:r w:rsidR="00233701" w:rsidRPr="00D02195">
        <w:rPr>
          <w:b w:val="0"/>
          <w:sz w:val="24"/>
          <w:szCs w:val="24"/>
          <w:lang w:val="en-US" w:eastAsia="ja-JP"/>
        </w:rPr>
        <w:tab/>
      </w:r>
      <w:r w:rsidR="00233701" w:rsidRPr="00D02195">
        <w:rPr>
          <w:sz w:val="24"/>
          <w:szCs w:val="24"/>
        </w:rPr>
        <w:t>Conclusion</w:t>
      </w:r>
      <w:r w:rsidR="00233701" w:rsidRPr="00D02195">
        <w:rPr>
          <w:sz w:val="24"/>
          <w:szCs w:val="24"/>
        </w:rPr>
        <w:tab/>
      </w:r>
      <w:r w:rsidR="00233701" w:rsidRPr="00D02195">
        <w:rPr>
          <w:sz w:val="24"/>
          <w:szCs w:val="24"/>
        </w:rPr>
        <w:fldChar w:fldCharType="begin"/>
      </w:r>
      <w:r w:rsidR="00233701" w:rsidRPr="00D02195">
        <w:rPr>
          <w:sz w:val="24"/>
          <w:szCs w:val="24"/>
        </w:rPr>
        <w:instrText xml:space="preserve"> PAGEREF _Toc294273155 \h </w:instrText>
      </w:r>
      <w:r w:rsidR="00233701" w:rsidRPr="00D02195">
        <w:rPr>
          <w:sz w:val="24"/>
          <w:szCs w:val="24"/>
        </w:rPr>
      </w:r>
      <w:r w:rsidR="00233701" w:rsidRPr="00D02195">
        <w:rPr>
          <w:sz w:val="24"/>
          <w:szCs w:val="24"/>
        </w:rPr>
        <w:fldChar w:fldCharType="separate"/>
      </w:r>
      <w:r w:rsidR="00D02195" w:rsidRPr="00D02195">
        <w:rPr>
          <w:sz w:val="24"/>
          <w:szCs w:val="24"/>
        </w:rPr>
        <w:t>29</w:t>
      </w:r>
      <w:r w:rsidR="00233701" w:rsidRPr="00D02195">
        <w:rPr>
          <w:sz w:val="24"/>
          <w:szCs w:val="24"/>
        </w:rPr>
        <w:fldChar w:fldCharType="end"/>
      </w:r>
    </w:p>
    <w:p w14:paraId="3FFBD9B3" w14:textId="77777777" w:rsidR="00D02195" w:rsidRDefault="00D02195" w:rsidP="00233701">
      <w:pPr>
        <w:pStyle w:val="TOC2"/>
        <w:tabs>
          <w:tab w:val="left" w:pos="1512"/>
          <w:tab w:val="right" w:leader="dot" w:pos="9730"/>
        </w:tabs>
        <w:spacing w:line="360" w:lineRule="auto"/>
        <w:rPr>
          <w:rFonts w:asciiTheme="majorHAnsi" w:hAnsiTheme="majorHAnsi"/>
          <w:noProof/>
        </w:rPr>
      </w:pPr>
    </w:p>
    <w:p w14:paraId="3BDB8324" w14:textId="6F42D11F" w:rsidR="00D02195" w:rsidRPr="00D02195" w:rsidRDefault="00D02195" w:rsidP="00D02195">
      <w:pPr>
        <w:pStyle w:val="TOC2"/>
        <w:tabs>
          <w:tab w:val="left" w:pos="1512"/>
          <w:tab w:val="right" w:leader="dot" w:pos="9730"/>
        </w:tabs>
        <w:spacing w:line="360" w:lineRule="auto"/>
        <w:ind w:left="0"/>
        <w:rPr>
          <w:rFonts w:asciiTheme="majorHAnsi" w:hAnsiTheme="majorHAnsi"/>
          <w:b/>
          <w:noProof/>
        </w:rPr>
      </w:pPr>
      <w:r w:rsidRPr="00D02195">
        <w:rPr>
          <w:rFonts w:asciiTheme="majorHAnsi" w:hAnsiTheme="majorHAnsi"/>
          <w:b/>
          <w:noProof/>
        </w:rPr>
        <w:t>Annexes</w:t>
      </w:r>
    </w:p>
    <w:p w14:paraId="5D99D95D" w14:textId="77777777" w:rsidR="00233701" w:rsidRPr="00D02195" w:rsidRDefault="00233701" w:rsidP="00233701">
      <w:pPr>
        <w:pStyle w:val="TOC2"/>
        <w:tabs>
          <w:tab w:val="left" w:pos="1512"/>
          <w:tab w:val="right" w:leader="dot" w:pos="9730"/>
        </w:tabs>
        <w:spacing w:line="360" w:lineRule="auto"/>
        <w:rPr>
          <w:rFonts w:asciiTheme="majorHAnsi" w:hAnsiTheme="majorHAnsi"/>
          <w:noProof/>
          <w:lang w:val="en-US" w:eastAsia="ja-JP"/>
        </w:rPr>
      </w:pPr>
      <w:r w:rsidRPr="00D02195">
        <w:rPr>
          <w:rFonts w:asciiTheme="majorHAnsi" w:hAnsiTheme="majorHAnsi"/>
          <w:noProof/>
        </w:rPr>
        <w:t>Annex 01:</w:t>
      </w:r>
      <w:r w:rsidRPr="00D02195">
        <w:rPr>
          <w:rFonts w:asciiTheme="majorHAnsi" w:hAnsiTheme="majorHAnsi"/>
          <w:noProof/>
          <w:lang w:val="en-US" w:eastAsia="ja-JP"/>
        </w:rPr>
        <w:tab/>
      </w:r>
      <w:r w:rsidRPr="00D02195">
        <w:rPr>
          <w:rFonts w:asciiTheme="majorHAnsi" w:hAnsiTheme="majorHAnsi"/>
          <w:noProof/>
        </w:rPr>
        <w:t>Survey Sampling by Location, Ethnicity of Respondent and WASH Focal Agency</w:t>
      </w:r>
      <w:r w:rsidRPr="00D02195">
        <w:rPr>
          <w:rFonts w:asciiTheme="majorHAnsi" w:hAnsiTheme="majorHAnsi"/>
          <w:noProof/>
        </w:rPr>
        <w:tab/>
      </w:r>
      <w:r w:rsidRPr="00D02195">
        <w:rPr>
          <w:rFonts w:asciiTheme="majorHAnsi" w:hAnsiTheme="majorHAnsi"/>
          <w:noProof/>
        </w:rPr>
        <w:fldChar w:fldCharType="begin"/>
      </w:r>
      <w:r w:rsidRPr="00D02195">
        <w:rPr>
          <w:rFonts w:asciiTheme="majorHAnsi" w:hAnsiTheme="majorHAnsi"/>
          <w:noProof/>
        </w:rPr>
        <w:instrText xml:space="preserve"> PAGEREF _Toc294273156 \h </w:instrText>
      </w:r>
      <w:r w:rsidRPr="00D02195">
        <w:rPr>
          <w:rFonts w:asciiTheme="majorHAnsi" w:hAnsiTheme="majorHAnsi"/>
          <w:noProof/>
        </w:rPr>
      </w:r>
      <w:r w:rsidRPr="00D02195">
        <w:rPr>
          <w:rFonts w:asciiTheme="majorHAnsi" w:hAnsiTheme="majorHAnsi"/>
          <w:noProof/>
        </w:rPr>
        <w:fldChar w:fldCharType="separate"/>
      </w:r>
      <w:r w:rsidR="00D02195" w:rsidRPr="00D02195">
        <w:rPr>
          <w:rFonts w:asciiTheme="majorHAnsi" w:hAnsiTheme="majorHAnsi"/>
          <w:noProof/>
        </w:rPr>
        <w:t>32</w:t>
      </w:r>
      <w:r w:rsidRPr="00D02195">
        <w:rPr>
          <w:rFonts w:asciiTheme="majorHAnsi" w:hAnsiTheme="majorHAnsi"/>
          <w:noProof/>
        </w:rPr>
        <w:fldChar w:fldCharType="end"/>
      </w:r>
    </w:p>
    <w:p w14:paraId="7234B8EC" w14:textId="77777777" w:rsidR="00233701" w:rsidRPr="00D02195" w:rsidRDefault="00233701" w:rsidP="00233701">
      <w:pPr>
        <w:pStyle w:val="TOC2"/>
        <w:tabs>
          <w:tab w:val="left" w:pos="1512"/>
          <w:tab w:val="right" w:leader="dot" w:pos="9730"/>
        </w:tabs>
        <w:spacing w:line="360" w:lineRule="auto"/>
        <w:rPr>
          <w:rFonts w:asciiTheme="majorHAnsi" w:hAnsiTheme="majorHAnsi"/>
          <w:noProof/>
          <w:lang w:val="en-US" w:eastAsia="ja-JP"/>
        </w:rPr>
      </w:pPr>
      <w:r w:rsidRPr="00D02195">
        <w:rPr>
          <w:rFonts w:asciiTheme="majorHAnsi" w:hAnsiTheme="majorHAnsi"/>
          <w:noProof/>
        </w:rPr>
        <w:t>Annex 02:</w:t>
      </w:r>
      <w:r w:rsidRPr="00D02195">
        <w:rPr>
          <w:rFonts w:asciiTheme="majorHAnsi" w:hAnsiTheme="majorHAnsi"/>
          <w:noProof/>
          <w:lang w:val="en-US" w:eastAsia="ja-JP"/>
        </w:rPr>
        <w:tab/>
      </w:r>
      <w:r w:rsidRPr="00D02195">
        <w:rPr>
          <w:rFonts w:asciiTheme="majorHAnsi" w:hAnsiTheme="majorHAnsi"/>
          <w:noProof/>
        </w:rPr>
        <w:t>Daily Work Plan for Enumerators</w:t>
      </w:r>
      <w:r w:rsidRPr="00D02195">
        <w:rPr>
          <w:rFonts w:asciiTheme="majorHAnsi" w:hAnsiTheme="majorHAnsi"/>
          <w:noProof/>
        </w:rPr>
        <w:tab/>
      </w:r>
      <w:r w:rsidRPr="00D02195">
        <w:rPr>
          <w:rFonts w:asciiTheme="majorHAnsi" w:hAnsiTheme="majorHAnsi"/>
          <w:noProof/>
        </w:rPr>
        <w:fldChar w:fldCharType="begin"/>
      </w:r>
      <w:r w:rsidRPr="00D02195">
        <w:rPr>
          <w:rFonts w:asciiTheme="majorHAnsi" w:hAnsiTheme="majorHAnsi"/>
          <w:noProof/>
        </w:rPr>
        <w:instrText xml:space="preserve"> PAGEREF _Toc294273157 \h </w:instrText>
      </w:r>
      <w:r w:rsidRPr="00D02195">
        <w:rPr>
          <w:rFonts w:asciiTheme="majorHAnsi" w:hAnsiTheme="majorHAnsi"/>
          <w:noProof/>
        </w:rPr>
      </w:r>
      <w:r w:rsidRPr="00D02195">
        <w:rPr>
          <w:rFonts w:asciiTheme="majorHAnsi" w:hAnsiTheme="majorHAnsi"/>
          <w:noProof/>
        </w:rPr>
        <w:fldChar w:fldCharType="separate"/>
      </w:r>
      <w:r w:rsidR="00D02195" w:rsidRPr="00D02195">
        <w:rPr>
          <w:rFonts w:asciiTheme="majorHAnsi" w:hAnsiTheme="majorHAnsi"/>
          <w:noProof/>
        </w:rPr>
        <w:t>33</w:t>
      </w:r>
      <w:r w:rsidRPr="00D02195">
        <w:rPr>
          <w:rFonts w:asciiTheme="majorHAnsi" w:hAnsiTheme="majorHAnsi"/>
          <w:noProof/>
        </w:rPr>
        <w:fldChar w:fldCharType="end"/>
      </w:r>
    </w:p>
    <w:p w14:paraId="29CDC882" w14:textId="1857E533" w:rsidR="0086119B" w:rsidRDefault="000918A4" w:rsidP="00233701">
      <w:pPr>
        <w:spacing w:line="360" w:lineRule="auto"/>
        <w:rPr>
          <w:rFonts w:asciiTheme="majorHAnsi" w:hAnsiTheme="majorHAnsi"/>
        </w:rPr>
      </w:pPr>
      <w:r w:rsidRPr="00233701">
        <w:rPr>
          <w:rFonts w:asciiTheme="majorHAnsi" w:hAnsiTheme="majorHAnsi"/>
        </w:rPr>
        <w:fldChar w:fldCharType="end"/>
      </w:r>
    </w:p>
    <w:p w14:paraId="5691DB7F" w14:textId="2299EA31" w:rsidR="0086119B" w:rsidRDefault="001A1F69" w:rsidP="00FB4855">
      <w:pPr>
        <w:pStyle w:val="Heading1"/>
        <w:numPr>
          <w:ilvl w:val="0"/>
          <w:numId w:val="8"/>
        </w:numPr>
        <w:ind w:left="720"/>
        <w:rPr>
          <w:color w:val="548DD4" w:themeColor="text2" w:themeTint="99"/>
          <w:sz w:val="28"/>
          <w:szCs w:val="28"/>
        </w:rPr>
      </w:pPr>
      <w:bookmarkStart w:id="3" w:name="_Toc292703938"/>
      <w:bookmarkStart w:id="4" w:name="_Toc292704156"/>
      <w:bookmarkStart w:id="5" w:name="_Toc294273135"/>
      <w:r w:rsidRPr="001224BB">
        <w:rPr>
          <w:color w:val="548DD4" w:themeColor="text2" w:themeTint="99"/>
          <w:sz w:val="28"/>
          <w:szCs w:val="28"/>
        </w:rPr>
        <w:t>Introduction</w:t>
      </w:r>
      <w:bookmarkEnd w:id="3"/>
      <w:bookmarkEnd w:id="4"/>
      <w:bookmarkEnd w:id="5"/>
    </w:p>
    <w:p w14:paraId="2204861E" w14:textId="77777777" w:rsidR="00FB4855" w:rsidRPr="002A00D4" w:rsidRDefault="00FB4855" w:rsidP="003D0F62">
      <w:pPr>
        <w:spacing w:after="120"/>
        <w:rPr>
          <w:sz w:val="2"/>
          <w:szCs w:val="2"/>
        </w:rPr>
      </w:pPr>
    </w:p>
    <w:p w14:paraId="161385D5" w14:textId="746BCDA7" w:rsidR="00FB4855" w:rsidRPr="004C42CF" w:rsidRDefault="00D25FEF" w:rsidP="003D0F62">
      <w:pPr>
        <w:spacing w:after="120"/>
        <w:jc w:val="both"/>
        <w:rPr>
          <w:rFonts w:asciiTheme="majorHAnsi" w:hAnsiTheme="majorHAnsi"/>
        </w:rPr>
      </w:pPr>
      <w:r w:rsidRPr="004C42CF">
        <w:rPr>
          <w:rFonts w:asciiTheme="majorHAnsi" w:hAnsiTheme="majorHAnsi"/>
        </w:rPr>
        <w:t>Two wav</w:t>
      </w:r>
      <w:r w:rsidR="003D0F62" w:rsidRPr="004C42CF">
        <w:rPr>
          <w:rFonts w:asciiTheme="majorHAnsi" w:hAnsiTheme="majorHAnsi"/>
        </w:rPr>
        <w:t>es of inter-communal violence across</w:t>
      </w:r>
      <w:r w:rsidRPr="004C42CF">
        <w:rPr>
          <w:rFonts w:asciiTheme="majorHAnsi" w:hAnsiTheme="majorHAnsi"/>
        </w:rPr>
        <w:t xml:space="preserve"> Rakhine State in June and October 2012 resulted in the </w:t>
      </w:r>
      <w:r w:rsidR="00E31A64" w:rsidRPr="004C42CF">
        <w:rPr>
          <w:rFonts w:asciiTheme="majorHAnsi" w:hAnsiTheme="majorHAnsi"/>
        </w:rPr>
        <w:t>displacement of over 93</w:t>
      </w:r>
      <w:r w:rsidRPr="004C42CF">
        <w:rPr>
          <w:rFonts w:asciiTheme="majorHAnsi" w:hAnsiTheme="majorHAnsi"/>
        </w:rPr>
        <w:t xml:space="preserve">,000 IDPs </w:t>
      </w:r>
      <w:r w:rsidR="006C182F" w:rsidRPr="004C42CF">
        <w:rPr>
          <w:rFonts w:asciiTheme="majorHAnsi" w:hAnsiTheme="majorHAnsi"/>
        </w:rPr>
        <w:t>with</w:t>
      </w:r>
      <w:r w:rsidRPr="004C42CF">
        <w:rPr>
          <w:rFonts w:asciiTheme="majorHAnsi" w:hAnsiTheme="majorHAnsi"/>
        </w:rPr>
        <w:t>in Sittwe Township</w:t>
      </w:r>
      <w:r w:rsidR="00C367BE" w:rsidRPr="004C42CF">
        <w:rPr>
          <w:rStyle w:val="FootnoteReference"/>
          <w:rFonts w:asciiTheme="majorHAnsi" w:hAnsiTheme="majorHAnsi"/>
        </w:rPr>
        <w:footnoteReference w:id="1"/>
      </w:r>
      <w:r w:rsidR="00E31A64" w:rsidRPr="004C42CF">
        <w:rPr>
          <w:rFonts w:asciiTheme="majorHAnsi" w:hAnsiTheme="majorHAnsi"/>
        </w:rPr>
        <w:t xml:space="preserve">. The violence </w:t>
      </w:r>
      <w:r w:rsidR="006C182F" w:rsidRPr="004C42CF">
        <w:rPr>
          <w:rFonts w:asciiTheme="majorHAnsi" w:hAnsiTheme="majorHAnsi"/>
        </w:rPr>
        <w:t>of</w:t>
      </w:r>
      <w:r w:rsidR="003D0F62" w:rsidRPr="004C42CF">
        <w:rPr>
          <w:rFonts w:asciiTheme="majorHAnsi" w:hAnsiTheme="majorHAnsi"/>
        </w:rPr>
        <w:t xml:space="preserve"> June 2012 </w:t>
      </w:r>
      <w:r w:rsidR="009922CF" w:rsidRPr="004C42CF">
        <w:rPr>
          <w:rFonts w:asciiTheme="majorHAnsi" w:hAnsiTheme="majorHAnsi"/>
        </w:rPr>
        <w:t xml:space="preserve">led to </w:t>
      </w:r>
      <w:r w:rsidR="00E31A64" w:rsidRPr="004C42CF">
        <w:rPr>
          <w:rFonts w:asciiTheme="majorHAnsi" w:hAnsiTheme="majorHAnsi"/>
        </w:rPr>
        <w:t>the displacement of approximately 64,</w:t>
      </w:r>
      <w:r w:rsidR="003D0F62" w:rsidRPr="004C42CF">
        <w:rPr>
          <w:rFonts w:asciiTheme="majorHAnsi" w:hAnsiTheme="majorHAnsi"/>
        </w:rPr>
        <w:t xml:space="preserve">000 Muslim IDPs to </w:t>
      </w:r>
      <w:r w:rsidR="00FC648F" w:rsidRPr="004C42CF">
        <w:rPr>
          <w:rFonts w:asciiTheme="majorHAnsi" w:hAnsiTheme="majorHAnsi"/>
        </w:rPr>
        <w:t xml:space="preserve">camps in </w:t>
      </w:r>
      <w:r w:rsidR="003D0F62" w:rsidRPr="004C42CF">
        <w:rPr>
          <w:rFonts w:asciiTheme="majorHAnsi" w:hAnsiTheme="majorHAnsi"/>
        </w:rPr>
        <w:t xml:space="preserve">rural Sittwe and a further 5,000 Rakhine IDPs within Sittwe downtown. </w:t>
      </w:r>
      <w:r w:rsidR="006C182F" w:rsidRPr="004C42CF">
        <w:rPr>
          <w:rFonts w:asciiTheme="majorHAnsi" w:hAnsiTheme="majorHAnsi"/>
        </w:rPr>
        <w:t xml:space="preserve">The second wave of violence in October 2012 resulted in </w:t>
      </w:r>
      <w:r w:rsidR="003D0F62" w:rsidRPr="004C42CF">
        <w:rPr>
          <w:rFonts w:asciiTheme="majorHAnsi" w:hAnsiTheme="majorHAnsi"/>
        </w:rPr>
        <w:t xml:space="preserve">15,000 IDPs </w:t>
      </w:r>
      <w:r w:rsidR="00FC648F" w:rsidRPr="004C42CF">
        <w:rPr>
          <w:rFonts w:asciiTheme="majorHAnsi" w:hAnsiTheme="majorHAnsi"/>
        </w:rPr>
        <w:t xml:space="preserve">relocated </w:t>
      </w:r>
      <w:r w:rsidR="006C182F" w:rsidRPr="004C42CF">
        <w:rPr>
          <w:rFonts w:asciiTheme="majorHAnsi" w:hAnsiTheme="majorHAnsi"/>
        </w:rPr>
        <w:t xml:space="preserve">to rural Sittwe from other affected Townships and in September 2013, an </w:t>
      </w:r>
      <w:r w:rsidR="006C182F" w:rsidRPr="00B73331">
        <w:rPr>
          <w:rFonts w:asciiTheme="majorHAnsi" w:hAnsiTheme="majorHAnsi"/>
        </w:rPr>
        <w:t xml:space="preserve">additional </w:t>
      </w:r>
      <w:r w:rsidR="00E31A64" w:rsidRPr="00B73331">
        <w:rPr>
          <w:rFonts w:asciiTheme="majorHAnsi" w:hAnsiTheme="majorHAnsi"/>
        </w:rPr>
        <w:t>15</w:t>
      </w:r>
      <w:r w:rsidR="00216D99" w:rsidRPr="00B73331">
        <w:rPr>
          <w:rFonts w:asciiTheme="majorHAnsi" w:hAnsiTheme="majorHAnsi"/>
        </w:rPr>
        <w:t>-20</w:t>
      </w:r>
      <w:r w:rsidR="00E31A64" w:rsidRPr="00B73331">
        <w:rPr>
          <w:rFonts w:asciiTheme="majorHAnsi" w:hAnsiTheme="majorHAnsi"/>
        </w:rPr>
        <w:t xml:space="preserve">,000 </w:t>
      </w:r>
      <w:r w:rsidR="003D0F62" w:rsidRPr="00B73331">
        <w:rPr>
          <w:rFonts w:asciiTheme="majorHAnsi" w:hAnsiTheme="majorHAnsi"/>
        </w:rPr>
        <w:t>IDPs</w:t>
      </w:r>
      <w:r w:rsidR="00216D99" w:rsidRPr="00B73331">
        <w:rPr>
          <w:rFonts w:asciiTheme="majorHAnsi" w:hAnsiTheme="majorHAnsi"/>
        </w:rPr>
        <w:t xml:space="preserve"> relocated to the IDP camps from villages on the outskirts of Sittwe town</w:t>
      </w:r>
      <w:r w:rsidR="003D0F62" w:rsidRPr="00B73331">
        <w:rPr>
          <w:rFonts w:asciiTheme="majorHAnsi" w:hAnsiTheme="majorHAnsi"/>
        </w:rPr>
        <w:t>.</w:t>
      </w:r>
      <w:r w:rsidR="0024351A" w:rsidRPr="00B73331">
        <w:rPr>
          <w:rFonts w:asciiTheme="majorHAnsi" w:hAnsiTheme="majorHAnsi"/>
        </w:rPr>
        <w:t xml:space="preserve"> </w:t>
      </w:r>
      <w:r w:rsidR="00E31A64" w:rsidRPr="00B73331">
        <w:rPr>
          <w:rFonts w:asciiTheme="majorHAnsi" w:hAnsiTheme="majorHAnsi"/>
        </w:rPr>
        <w:t xml:space="preserve">By the beginning of the 2013 rainy season, </w:t>
      </w:r>
      <w:r w:rsidR="0024351A" w:rsidRPr="00B73331">
        <w:rPr>
          <w:rFonts w:asciiTheme="majorHAnsi" w:hAnsiTheme="majorHAnsi"/>
        </w:rPr>
        <w:t xml:space="preserve">1,800 </w:t>
      </w:r>
      <w:r w:rsidR="00E31A64" w:rsidRPr="00B73331">
        <w:rPr>
          <w:rFonts w:asciiTheme="majorHAnsi" w:hAnsiTheme="majorHAnsi"/>
        </w:rPr>
        <w:t xml:space="preserve">temporary </w:t>
      </w:r>
      <w:r w:rsidR="00C367BE" w:rsidRPr="00B73331">
        <w:rPr>
          <w:rFonts w:asciiTheme="majorHAnsi" w:hAnsiTheme="majorHAnsi"/>
        </w:rPr>
        <w:t>8-</w:t>
      </w:r>
      <w:r w:rsidR="003D0F62" w:rsidRPr="00B73331">
        <w:rPr>
          <w:rFonts w:asciiTheme="majorHAnsi" w:hAnsiTheme="majorHAnsi"/>
        </w:rPr>
        <w:t>unit shelter</w:t>
      </w:r>
      <w:r w:rsidR="0024351A" w:rsidRPr="00B73331">
        <w:rPr>
          <w:rFonts w:asciiTheme="majorHAnsi" w:hAnsiTheme="majorHAnsi"/>
        </w:rPr>
        <w:t>s</w:t>
      </w:r>
      <w:r w:rsidR="003D0F62" w:rsidRPr="00B73331">
        <w:rPr>
          <w:rFonts w:asciiTheme="majorHAnsi" w:hAnsiTheme="majorHAnsi"/>
        </w:rPr>
        <w:t xml:space="preserve"> had been constructed </w:t>
      </w:r>
      <w:r w:rsidR="00E31A64" w:rsidRPr="00B73331">
        <w:rPr>
          <w:rFonts w:asciiTheme="majorHAnsi" w:hAnsiTheme="majorHAnsi"/>
        </w:rPr>
        <w:t xml:space="preserve">for all </w:t>
      </w:r>
      <w:r w:rsidR="00C367BE" w:rsidRPr="00B73331">
        <w:rPr>
          <w:rFonts w:asciiTheme="majorHAnsi" w:hAnsiTheme="majorHAnsi"/>
        </w:rPr>
        <w:t>‘</w:t>
      </w:r>
      <w:r w:rsidR="00E31A64" w:rsidRPr="00B73331">
        <w:rPr>
          <w:rFonts w:asciiTheme="majorHAnsi" w:hAnsiTheme="majorHAnsi"/>
        </w:rPr>
        <w:t>eligible</w:t>
      </w:r>
      <w:r w:rsidR="00C367BE" w:rsidRPr="00B73331">
        <w:rPr>
          <w:rFonts w:asciiTheme="majorHAnsi" w:hAnsiTheme="majorHAnsi"/>
        </w:rPr>
        <w:t>’</w:t>
      </w:r>
      <w:r w:rsidR="00E31A64" w:rsidRPr="00B73331">
        <w:rPr>
          <w:rFonts w:asciiTheme="majorHAnsi" w:hAnsiTheme="majorHAnsi"/>
        </w:rPr>
        <w:t xml:space="preserve"> IDPs</w:t>
      </w:r>
      <w:r w:rsidR="00E31A64" w:rsidRPr="00B73331">
        <w:rPr>
          <w:rStyle w:val="FootnoteReference"/>
          <w:rFonts w:asciiTheme="majorHAnsi" w:hAnsiTheme="majorHAnsi"/>
        </w:rPr>
        <w:footnoteReference w:id="2"/>
      </w:r>
      <w:r w:rsidR="00FC648F" w:rsidRPr="00B73331">
        <w:rPr>
          <w:rFonts w:asciiTheme="majorHAnsi" w:hAnsiTheme="majorHAnsi"/>
        </w:rPr>
        <w:t xml:space="preserve"> in Sittwe Township</w:t>
      </w:r>
      <w:r w:rsidR="0024351A" w:rsidRPr="00B73331">
        <w:rPr>
          <w:rFonts w:asciiTheme="majorHAnsi" w:hAnsiTheme="majorHAnsi"/>
        </w:rPr>
        <w:t xml:space="preserve"> and areas allocated for the construction of WASH facilities</w:t>
      </w:r>
      <w:r w:rsidR="0024351A" w:rsidRPr="00B73331">
        <w:rPr>
          <w:rStyle w:val="FootnoteReference"/>
          <w:rFonts w:asciiTheme="majorHAnsi" w:hAnsiTheme="majorHAnsi"/>
        </w:rPr>
        <w:footnoteReference w:id="3"/>
      </w:r>
      <w:r w:rsidR="00FC648F" w:rsidRPr="00B73331">
        <w:rPr>
          <w:rFonts w:asciiTheme="majorHAnsi" w:hAnsiTheme="majorHAnsi"/>
        </w:rPr>
        <w:t>.</w:t>
      </w:r>
      <w:r w:rsidR="00FC648F" w:rsidRPr="004C42CF">
        <w:rPr>
          <w:rFonts w:asciiTheme="majorHAnsi" w:hAnsiTheme="majorHAnsi"/>
        </w:rPr>
        <w:t xml:space="preserve"> </w:t>
      </w:r>
    </w:p>
    <w:p w14:paraId="6108769F" w14:textId="09805D66" w:rsidR="00FB4855" w:rsidRPr="00CD7B99" w:rsidRDefault="00B14A27" w:rsidP="00CD7B99">
      <w:pPr>
        <w:spacing w:after="120"/>
        <w:jc w:val="both"/>
        <w:rPr>
          <w:rFonts w:asciiTheme="majorHAnsi" w:hAnsiTheme="majorHAnsi"/>
        </w:rPr>
      </w:pPr>
      <w:r>
        <w:rPr>
          <w:rFonts w:asciiTheme="majorHAnsi" w:hAnsiTheme="majorHAnsi"/>
        </w:rPr>
        <w:t xml:space="preserve">DfID consortium partners have implemented 3 </w:t>
      </w:r>
      <w:r w:rsidR="005B44F2">
        <w:rPr>
          <w:rFonts w:asciiTheme="majorHAnsi" w:hAnsiTheme="majorHAnsi"/>
        </w:rPr>
        <w:t xml:space="preserve">phases of WASH projects in Sittwe Township since the beginning of the crisis. </w:t>
      </w:r>
      <w:r w:rsidR="00B73331">
        <w:rPr>
          <w:rFonts w:asciiTheme="majorHAnsi" w:hAnsiTheme="majorHAnsi"/>
        </w:rPr>
        <w:t xml:space="preserve">This report will assess </w:t>
      </w:r>
      <w:r w:rsidR="002A00D4">
        <w:rPr>
          <w:rFonts w:asciiTheme="majorHAnsi" w:hAnsiTheme="majorHAnsi"/>
        </w:rPr>
        <w:t>the current situation regarding the Knowledge Attitude and Practices (KAP) regarding hygiene behaviours in the target area to support project indicators for the end of phase 3 and support establishing baseline indicators for phase 4.</w:t>
      </w:r>
    </w:p>
    <w:p w14:paraId="0ECD1DED" w14:textId="20CFBC29" w:rsidR="007B799A" w:rsidRDefault="007B799A" w:rsidP="00FB4855">
      <w:pPr>
        <w:pStyle w:val="Heading1"/>
        <w:numPr>
          <w:ilvl w:val="0"/>
          <w:numId w:val="8"/>
        </w:numPr>
        <w:spacing w:after="120"/>
        <w:ind w:left="720"/>
        <w:rPr>
          <w:color w:val="548DD4" w:themeColor="text2" w:themeTint="99"/>
          <w:sz w:val="28"/>
          <w:szCs w:val="28"/>
        </w:rPr>
      </w:pPr>
      <w:bookmarkStart w:id="6" w:name="_Toc292703939"/>
      <w:bookmarkStart w:id="7" w:name="_Toc292704157"/>
      <w:bookmarkStart w:id="8" w:name="_Toc294273136"/>
      <w:r w:rsidRPr="001224BB">
        <w:rPr>
          <w:color w:val="548DD4" w:themeColor="text2" w:themeTint="99"/>
          <w:sz w:val="28"/>
          <w:szCs w:val="28"/>
        </w:rPr>
        <w:t>Objectives of the KAP Survey</w:t>
      </w:r>
      <w:bookmarkEnd w:id="6"/>
      <w:bookmarkEnd w:id="7"/>
      <w:bookmarkEnd w:id="8"/>
    </w:p>
    <w:p w14:paraId="30A893F7" w14:textId="609173BA" w:rsidR="00FB4855" w:rsidRPr="004C42CF" w:rsidRDefault="00FB4855" w:rsidP="00FB4855">
      <w:pPr>
        <w:spacing w:after="120"/>
        <w:rPr>
          <w:rFonts w:asciiTheme="majorHAnsi" w:hAnsiTheme="majorHAnsi"/>
        </w:rPr>
      </w:pPr>
      <w:r w:rsidRPr="004C42CF">
        <w:rPr>
          <w:rFonts w:asciiTheme="majorHAnsi" w:hAnsiTheme="majorHAnsi"/>
        </w:rPr>
        <w:t>The terms of reference (ToR) for this study outlined the following two objectives:</w:t>
      </w:r>
    </w:p>
    <w:p w14:paraId="335C7D89" w14:textId="07BF9391" w:rsidR="005C63E6" w:rsidRPr="004C42CF" w:rsidRDefault="00FB4855" w:rsidP="00FB4855">
      <w:pPr>
        <w:pStyle w:val="ListParagraph"/>
        <w:numPr>
          <w:ilvl w:val="0"/>
          <w:numId w:val="5"/>
        </w:numPr>
        <w:spacing w:after="120"/>
        <w:rPr>
          <w:rFonts w:asciiTheme="majorHAnsi" w:hAnsiTheme="majorHAnsi"/>
          <w:sz w:val="24"/>
          <w:szCs w:val="24"/>
        </w:rPr>
      </w:pPr>
      <w:r w:rsidRPr="004C42CF">
        <w:rPr>
          <w:rFonts w:asciiTheme="majorHAnsi" w:hAnsiTheme="majorHAnsi"/>
          <w:sz w:val="24"/>
          <w:szCs w:val="24"/>
        </w:rPr>
        <w:t>C</w:t>
      </w:r>
      <w:r w:rsidR="005C63E6" w:rsidRPr="004C42CF">
        <w:rPr>
          <w:rFonts w:asciiTheme="majorHAnsi" w:hAnsiTheme="majorHAnsi"/>
          <w:sz w:val="24"/>
          <w:szCs w:val="24"/>
        </w:rPr>
        <w:t>onduct a KAP survey of hygiene behaviours in IDP camps and villages, both those in close proximity to the IDP camps and those in more remote areas to the north of Sittwe Township.</w:t>
      </w:r>
    </w:p>
    <w:p w14:paraId="0ED208A4" w14:textId="43623B04" w:rsidR="005C63E6" w:rsidRPr="004C42CF" w:rsidRDefault="005C63E6" w:rsidP="00FB4855">
      <w:pPr>
        <w:pStyle w:val="ListParagraph"/>
        <w:numPr>
          <w:ilvl w:val="0"/>
          <w:numId w:val="5"/>
        </w:numPr>
        <w:spacing w:after="120"/>
        <w:rPr>
          <w:rFonts w:asciiTheme="majorHAnsi" w:hAnsiTheme="majorHAnsi"/>
          <w:sz w:val="24"/>
          <w:szCs w:val="24"/>
        </w:rPr>
      </w:pPr>
      <w:r w:rsidRPr="004C42CF">
        <w:rPr>
          <w:rFonts w:asciiTheme="majorHAnsi" w:hAnsiTheme="majorHAnsi"/>
          <w:sz w:val="24"/>
          <w:szCs w:val="24"/>
        </w:rPr>
        <w:t>Monitor DfID project indicators of hygiene behaviour for end of project evaluation of the current project and to establish baseline indicators for the forth round of DfID funding.</w:t>
      </w:r>
    </w:p>
    <w:p w14:paraId="0D982D0A" w14:textId="77777777" w:rsidR="00FB4855" w:rsidRPr="002A00D4" w:rsidRDefault="00FB4855" w:rsidP="008E18D8">
      <w:pPr>
        <w:widowControl w:val="0"/>
        <w:autoSpaceDE w:val="0"/>
        <w:autoSpaceDN w:val="0"/>
        <w:adjustRightInd w:val="0"/>
        <w:spacing w:after="120"/>
        <w:rPr>
          <w:rFonts w:asciiTheme="majorHAnsi" w:hAnsiTheme="majorHAnsi" w:cs="Times"/>
          <w:sz w:val="2"/>
          <w:szCs w:val="2"/>
          <w:lang w:val="en-US"/>
        </w:rPr>
      </w:pPr>
    </w:p>
    <w:p w14:paraId="3DA4B745" w14:textId="52723A54" w:rsidR="00854267" w:rsidRPr="004C42CF" w:rsidRDefault="00FB4855" w:rsidP="008E18D8">
      <w:pPr>
        <w:widowControl w:val="0"/>
        <w:autoSpaceDE w:val="0"/>
        <w:autoSpaceDN w:val="0"/>
        <w:adjustRightInd w:val="0"/>
        <w:spacing w:after="120"/>
        <w:rPr>
          <w:rFonts w:asciiTheme="majorHAnsi" w:hAnsiTheme="majorHAnsi" w:cs="Times"/>
          <w:lang w:val="en-US"/>
        </w:rPr>
      </w:pPr>
      <w:r w:rsidRPr="004C42CF">
        <w:rPr>
          <w:rFonts w:asciiTheme="majorHAnsi" w:hAnsiTheme="majorHAnsi" w:cs="Times"/>
          <w:lang w:val="en-US"/>
        </w:rPr>
        <w:t>In order to achieve these objectives, key a</w:t>
      </w:r>
      <w:r w:rsidR="00854267" w:rsidRPr="004C42CF">
        <w:rPr>
          <w:rFonts w:asciiTheme="majorHAnsi" w:hAnsiTheme="majorHAnsi" w:cs="Times"/>
          <w:lang w:val="en-US"/>
        </w:rPr>
        <w:t>ccountabilities</w:t>
      </w:r>
      <w:r w:rsidRPr="004C42CF">
        <w:rPr>
          <w:rFonts w:asciiTheme="majorHAnsi" w:hAnsiTheme="majorHAnsi" w:cs="Times"/>
          <w:lang w:val="en-US"/>
        </w:rPr>
        <w:t xml:space="preserve"> of the consultant included:</w:t>
      </w:r>
      <w:r w:rsidR="00854267" w:rsidRPr="004C42CF">
        <w:rPr>
          <w:rFonts w:asciiTheme="majorHAnsi" w:hAnsiTheme="majorHAnsi" w:cs="Times"/>
          <w:lang w:val="en-US"/>
        </w:rPr>
        <w:t xml:space="preserve"> </w:t>
      </w:r>
    </w:p>
    <w:p w14:paraId="7317B857" w14:textId="31A9F0AE" w:rsidR="00854267" w:rsidRPr="004C42CF" w:rsidRDefault="00854267" w:rsidP="00FB4855">
      <w:pPr>
        <w:pStyle w:val="ListParagraph"/>
        <w:widowControl w:val="0"/>
        <w:numPr>
          <w:ilvl w:val="0"/>
          <w:numId w:val="7"/>
        </w:numPr>
        <w:tabs>
          <w:tab w:val="left" w:pos="0"/>
          <w:tab w:val="left" w:pos="220"/>
        </w:tabs>
        <w:autoSpaceDE w:val="0"/>
        <w:autoSpaceDN w:val="0"/>
        <w:adjustRightInd w:val="0"/>
        <w:spacing w:after="120"/>
        <w:rPr>
          <w:rFonts w:asciiTheme="majorHAnsi" w:hAnsiTheme="majorHAnsi" w:cs="Times"/>
          <w:sz w:val="24"/>
          <w:szCs w:val="24"/>
        </w:rPr>
      </w:pPr>
      <w:r w:rsidRPr="004C42CF">
        <w:rPr>
          <w:rFonts w:asciiTheme="majorHAnsi" w:hAnsiTheme="majorHAnsi" w:cs="Gill Sans MT"/>
          <w:sz w:val="24"/>
          <w:szCs w:val="24"/>
        </w:rPr>
        <w:t>Design the survey methodology, and develop comprehensive tools for data collection according to WASH best pr</w:t>
      </w:r>
      <w:r w:rsidR="00FB4855" w:rsidRPr="004C42CF">
        <w:rPr>
          <w:rFonts w:asciiTheme="majorHAnsi" w:hAnsiTheme="majorHAnsi" w:cs="Gill Sans MT"/>
          <w:sz w:val="24"/>
          <w:szCs w:val="24"/>
        </w:rPr>
        <w:t>actice and SCI previous surveys</w:t>
      </w:r>
      <w:r w:rsidRPr="004C42CF">
        <w:rPr>
          <w:rFonts w:asciiTheme="majorHAnsi" w:hAnsiTheme="majorHAnsi" w:cs="Gill Sans MT"/>
          <w:sz w:val="24"/>
          <w:szCs w:val="24"/>
        </w:rPr>
        <w:t xml:space="preserve"> </w:t>
      </w:r>
      <w:r w:rsidRPr="004C42CF">
        <w:rPr>
          <w:rFonts w:asciiTheme="majorHAnsi" w:hAnsiTheme="majorHAnsi" w:cs="Times"/>
          <w:sz w:val="24"/>
          <w:szCs w:val="24"/>
        </w:rPr>
        <w:t> </w:t>
      </w:r>
    </w:p>
    <w:p w14:paraId="7007DF7B" w14:textId="1FD902FC" w:rsidR="00854267" w:rsidRPr="004C42CF" w:rsidRDefault="00854267" w:rsidP="00FB4855">
      <w:pPr>
        <w:pStyle w:val="ListParagraph"/>
        <w:widowControl w:val="0"/>
        <w:numPr>
          <w:ilvl w:val="0"/>
          <w:numId w:val="7"/>
        </w:numPr>
        <w:tabs>
          <w:tab w:val="left" w:pos="0"/>
          <w:tab w:val="left" w:pos="220"/>
        </w:tabs>
        <w:autoSpaceDE w:val="0"/>
        <w:autoSpaceDN w:val="0"/>
        <w:adjustRightInd w:val="0"/>
        <w:spacing w:after="120"/>
        <w:rPr>
          <w:rFonts w:asciiTheme="majorHAnsi" w:hAnsiTheme="majorHAnsi" w:cs="Times"/>
          <w:sz w:val="24"/>
          <w:szCs w:val="24"/>
        </w:rPr>
      </w:pPr>
      <w:r w:rsidRPr="004C42CF">
        <w:rPr>
          <w:rFonts w:asciiTheme="majorHAnsi" w:hAnsiTheme="majorHAnsi" w:cs="Gill Sans MT"/>
          <w:sz w:val="24"/>
          <w:szCs w:val="24"/>
        </w:rPr>
        <w:t xml:space="preserve">Review program logframe, proposal, past KAP surveys and </w:t>
      </w:r>
      <w:r w:rsidR="00FB4855" w:rsidRPr="004C42CF">
        <w:rPr>
          <w:rFonts w:asciiTheme="majorHAnsi" w:hAnsiTheme="majorHAnsi" w:cs="Gill Sans MT"/>
          <w:sz w:val="24"/>
          <w:szCs w:val="24"/>
        </w:rPr>
        <w:t xml:space="preserve">other key documents and develop </w:t>
      </w:r>
      <w:r w:rsidRPr="004C42CF">
        <w:rPr>
          <w:rFonts w:asciiTheme="majorHAnsi" w:hAnsiTheme="majorHAnsi" w:cs="Gill Sans MT"/>
          <w:sz w:val="24"/>
          <w:szCs w:val="24"/>
        </w:rPr>
        <w:t>questionnaires accordingly</w:t>
      </w:r>
    </w:p>
    <w:p w14:paraId="585DD2B3" w14:textId="77777777" w:rsidR="00FB4855" w:rsidRPr="004C42CF" w:rsidRDefault="00854267" w:rsidP="00FB4855">
      <w:pPr>
        <w:pStyle w:val="ListParagraph"/>
        <w:widowControl w:val="0"/>
        <w:numPr>
          <w:ilvl w:val="0"/>
          <w:numId w:val="7"/>
        </w:numPr>
        <w:tabs>
          <w:tab w:val="left" w:pos="0"/>
          <w:tab w:val="left" w:pos="220"/>
        </w:tabs>
        <w:autoSpaceDE w:val="0"/>
        <w:autoSpaceDN w:val="0"/>
        <w:adjustRightInd w:val="0"/>
        <w:spacing w:after="120"/>
        <w:rPr>
          <w:rFonts w:asciiTheme="majorHAnsi" w:hAnsiTheme="majorHAnsi" w:cs="Times"/>
          <w:sz w:val="24"/>
          <w:szCs w:val="24"/>
        </w:rPr>
      </w:pPr>
      <w:r w:rsidRPr="004C42CF">
        <w:rPr>
          <w:rFonts w:asciiTheme="majorHAnsi" w:hAnsiTheme="majorHAnsi" w:cs="Gill Sans MT"/>
          <w:sz w:val="24"/>
          <w:szCs w:val="24"/>
        </w:rPr>
        <w:t>Train</w:t>
      </w:r>
      <w:r w:rsidR="00FB4855" w:rsidRPr="004C42CF">
        <w:rPr>
          <w:rFonts w:asciiTheme="majorHAnsi" w:hAnsiTheme="majorHAnsi" w:cs="Gill Sans MT"/>
          <w:sz w:val="24"/>
          <w:szCs w:val="24"/>
        </w:rPr>
        <w:t>ing of</w:t>
      </w:r>
      <w:r w:rsidRPr="004C42CF">
        <w:rPr>
          <w:rFonts w:asciiTheme="majorHAnsi" w:hAnsiTheme="majorHAnsi" w:cs="Gill Sans MT"/>
          <w:sz w:val="24"/>
          <w:szCs w:val="24"/>
        </w:rPr>
        <w:t xml:space="preserve"> data collectors </w:t>
      </w:r>
    </w:p>
    <w:p w14:paraId="5F82FF87" w14:textId="63A961D4" w:rsidR="00FB4855" w:rsidRPr="004C42CF" w:rsidRDefault="00FB4855" w:rsidP="00FB4855">
      <w:pPr>
        <w:pStyle w:val="ListParagraph"/>
        <w:widowControl w:val="0"/>
        <w:numPr>
          <w:ilvl w:val="0"/>
          <w:numId w:val="7"/>
        </w:numPr>
        <w:tabs>
          <w:tab w:val="left" w:pos="0"/>
          <w:tab w:val="left" w:pos="220"/>
        </w:tabs>
        <w:autoSpaceDE w:val="0"/>
        <w:autoSpaceDN w:val="0"/>
        <w:adjustRightInd w:val="0"/>
        <w:spacing w:after="120"/>
        <w:rPr>
          <w:rFonts w:asciiTheme="majorHAnsi" w:hAnsiTheme="majorHAnsi" w:cs="Times"/>
          <w:sz w:val="24"/>
          <w:szCs w:val="24"/>
        </w:rPr>
      </w:pPr>
      <w:r w:rsidRPr="004C42CF">
        <w:rPr>
          <w:rFonts w:asciiTheme="majorHAnsi" w:hAnsiTheme="majorHAnsi" w:cs="Gill Sans MT"/>
          <w:sz w:val="24"/>
          <w:szCs w:val="24"/>
        </w:rPr>
        <w:t>C</w:t>
      </w:r>
      <w:r w:rsidR="00854267" w:rsidRPr="004C42CF">
        <w:rPr>
          <w:rFonts w:asciiTheme="majorHAnsi" w:hAnsiTheme="majorHAnsi" w:cs="Gill Sans MT"/>
          <w:sz w:val="24"/>
          <w:szCs w:val="24"/>
        </w:rPr>
        <w:t>oordination of</w:t>
      </w:r>
      <w:r w:rsidRPr="004C42CF">
        <w:rPr>
          <w:rFonts w:asciiTheme="majorHAnsi" w:hAnsiTheme="majorHAnsi" w:cs="Gill Sans MT"/>
          <w:sz w:val="24"/>
          <w:szCs w:val="24"/>
        </w:rPr>
        <w:t xml:space="preserve"> the survey teams in the field</w:t>
      </w:r>
    </w:p>
    <w:p w14:paraId="47A4D8DE" w14:textId="29142F82" w:rsidR="00854267" w:rsidRPr="004C42CF" w:rsidRDefault="00854267" w:rsidP="00FB4855">
      <w:pPr>
        <w:pStyle w:val="ListParagraph"/>
        <w:widowControl w:val="0"/>
        <w:numPr>
          <w:ilvl w:val="0"/>
          <w:numId w:val="7"/>
        </w:numPr>
        <w:tabs>
          <w:tab w:val="left" w:pos="0"/>
          <w:tab w:val="left" w:pos="220"/>
        </w:tabs>
        <w:autoSpaceDE w:val="0"/>
        <w:autoSpaceDN w:val="0"/>
        <w:adjustRightInd w:val="0"/>
        <w:spacing w:after="120"/>
        <w:rPr>
          <w:rFonts w:asciiTheme="majorHAnsi" w:hAnsiTheme="majorHAnsi" w:cs="Times"/>
          <w:sz w:val="24"/>
          <w:szCs w:val="24"/>
        </w:rPr>
      </w:pPr>
      <w:r w:rsidRPr="004C42CF">
        <w:rPr>
          <w:rFonts w:asciiTheme="majorHAnsi" w:hAnsiTheme="majorHAnsi" w:cs="Gill Sans MT"/>
          <w:sz w:val="24"/>
          <w:szCs w:val="24"/>
        </w:rPr>
        <w:t xml:space="preserve">Presentation of preliminary </w:t>
      </w:r>
      <w:r w:rsidRPr="004C42CF">
        <w:rPr>
          <w:rFonts w:asciiTheme="majorHAnsi" w:hAnsiTheme="majorHAnsi" w:cs="Times"/>
          <w:sz w:val="24"/>
          <w:szCs w:val="24"/>
        </w:rPr>
        <w:t> </w:t>
      </w:r>
      <w:r w:rsidRPr="004C42CF">
        <w:rPr>
          <w:rFonts w:asciiTheme="majorHAnsi" w:hAnsiTheme="majorHAnsi" w:cs="Gill Sans MT"/>
          <w:sz w:val="24"/>
          <w:szCs w:val="24"/>
        </w:rPr>
        <w:t xml:space="preserve">findings to at the district and national level </w:t>
      </w:r>
      <w:r w:rsidR="00FB4855" w:rsidRPr="004C42CF">
        <w:rPr>
          <w:rFonts w:asciiTheme="majorHAnsi" w:hAnsiTheme="majorHAnsi" w:cs="Gill Sans MT"/>
          <w:sz w:val="24"/>
          <w:szCs w:val="24"/>
        </w:rPr>
        <w:t xml:space="preserve">stakeholders, if </w:t>
      </w:r>
      <w:r w:rsidRPr="004C42CF">
        <w:rPr>
          <w:rFonts w:asciiTheme="majorHAnsi" w:hAnsiTheme="majorHAnsi" w:cs="Gill Sans MT"/>
          <w:sz w:val="24"/>
          <w:szCs w:val="24"/>
        </w:rPr>
        <w:t xml:space="preserve">required. </w:t>
      </w:r>
      <w:r w:rsidRPr="004C42CF">
        <w:rPr>
          <w:rFonts w:asciiTheme="majorHAnsi" w:hAnsiTheme="majorHAnsi" w:cs="Times"/>
          <w:sz w:val="24"/>
          <w:szCs w:val="24"/>
        </w:rPr>
        <w:t> </w:t>
      </w:r>
    </w:p>
    <w:p w14:paraId="6CCD2704" w14:textId="3B086EC5" w:rsidR="00854267" w:rsidRPr="004C42CF" w:rsidRDefault="00FB4855" w:rsidP="00FB4855">
      <w:pPr>
        <w:pStyle w:val="ListParagraph"/>
        <w:widowControl w:val="0"/>
        <w:numPr>
          <w:ilvl w:val="0"/>
          <w:numId w:val="7"/>
        </w:numPr>
        <w:tabs>
          <w:tab w:val="left" w:pos="0"/>
          <w:tab w:val="left" w:pos="220"/>
        </w:tabs>
        <w:autoSpaceDE w:val="0"/>
        <w:autoSpaceDN w:val="0"/>
        <w:adjustRightInd w:val="0"/>
        <w:spacing w:after="120"/>
        <w:rPr>
          <w:rFonts w:asciiTheme="majorHAnsi" w:hAnsiTheme="majorHAnsi" w:cs="Times"/>
          <w:sz w:val="24"/>
          <w:szCs w:val="24"/>
        </w:rPr>
      </w:pPr>
      <w:r w:rsidRPr="004C42CF">
        <w:rPr>
          <w:rFonts w:asciiTheme="majorHAnsi" w:hAnsiTheme="majorHAnsi" w:cs="Gill Sans MT"/>
          <w:sz w:val="24"/>
          <w:szCs w:val="24"/>
        </w:rPr>
        <w:t>D</w:t>
      </w:r>
      <w:r w:rsidR="00854267" w:rsidRPr="004C42CF">
        <w:rPr>
          <w:rFonts w:asciiTheme="majorHAnsi" w:hAnsiTheme="majorHAnsi" w:cs="Gill Sans MT"/>
          <w:sz w:val="24"/>
          <w:szCs w:val="24"/>
        </w:rPr>
        <w:t xml:space="preserve">ata analysis and compilation of a comprehensive survey report </w:t>
      </w:r>
      <w:r w:rsidR="00854267" w:rsidRPr="004C42CF">
        <w:rPr>
          <w:rFonts w:asciiTheme="majorHAnsi" w:hAnsiTheme="majorHAnsi" w:cs="Times"/>
          <w:sz w:val="24"/>
          <w:szCs w:val="24"/>
        </w:rPr>
        <w:t> </w:t>
      </w:r>
    </w:p>
    <w:p w14:paraId="155EA5A3" w14:textId="7D7273F8" w:rsidR="00854267" w:rsidRPr="004C42CF" w:rsidRDefault="00854267" w:rsidP="00FB4855">
      <w:pPr>
        <w:pStyle w:val="ListParagraph"/>
        <w:widowControl w:val="0"/>
        <w:numPr>
          <w:ilvl w:val="0"/>
          <w:numId w:val="7"/>
        </w:numPr>
        <w:tabs>
          <w:tab w:val="left" w:pos="0"/>
          <w:tab w:val="left" w:pos="220"/>
        </w:tabs>
        <w:autoSpaceDE w:val="0"/>
        <w:autoSpaceDN w:val="0"/>
        <w:adjustRightInd w:val="0"/>
        <w:spacing w:after="120"/>
        <w:rPr>
          <w:rFonts w:asciiTheme="majorHAnsi" w:hAnsiTheme="majorHAnsi" w:cs="Times"/>
          <w:sz w:val="24"/>
          <w:szCs w:val="24"/>
        </w:rPr>
      </w:pPr>
      <w:r w:rsidRPr="004C42CF">
        <w:rPr>
          <w:rFonts w:asciiTheme="majorHAnsi" w:hAnsiTheme="majorHAnsi" w:cs="Gill Sans MT"/>
          <w:sz w:val="24"/>
          <w:szCs w:val="24"/>
        </w:rPr>
        <w:t xml:space="preserve">Prepare and submit final survey reports and data sets to SCI in soft and hard copy. </w:t>
      </w:r>
      <w:r w:rsidRPr="004C42CF">
        <w:rPr>
          <w:rFonts w:asciiTheme="majorHAnsi" w:hAnsiTheme="majorHAnsi" w:cs="Times"/>
          <w:sz w:val="24"/>
          <w:szCs w:val="24"/>
        </w:rPr>
        <w:t> </w:t>
      </w:r>
    </w:p>
    <w:p w14:paraId="1627B558" w14:textId="0B43448D" w:rsidR="007B799A" w:rsidRPr="001224BB" w:rsidRDefault="00912AE8" w:rsidP="00912AE8">
      <w:pPr>
        <w:pStyle w:val="Heading1"/>
        <w:rPr>
          <w:color w:val="548DD4" w:themeColor="text2" w:themeTint="99"/>
          <w:sz w:val="28"/>
          <w:szCs w:val="28"/>
        </w:rPr>
      </w:pPr>
      <w:bookmarkStart w:id="9" w:name="_Toc292703940"/>
      <w:bookmarkStart w:id="10" w:name="_Toc292704158"/>
      <w:bookmarkStart w:id="11" w:name="_Toc294273137"/>
      <w:r w:rsidRPr="001224BB">
        <w:rPr>
          <w:color w:val="548DD4" w:themeColor="text2" w:themeTint="99"/>
          <w:sz w:val="28"/>
          <w:szCs w:val="28"/>
        </w:rPr>
        <w:t>03</w:t>
      </w:r>
      <w:r w:rsidRPr="001224BB">
        <w:rPr>
          <w:color w:val="548DD4" w:themeColor="text2" w:themeTint="99"/>
          <w:sz w:val="28"/>
          <w:szCs w:val="28"/>
        </w:rPr>
        <w:tab/>
      </w:r>
      <w:r w:rsidR="00767C4E">
        <w:rPr>
          <w:color w:val="548DD4" w:themeColor="text2" w:themeTint="99"/>
          <w:sz w:val="28"/>
          <w:szCs w:val="28"/>
        </w:rPr>
        <w:t>Methodology</w:t>
      </w:r>
      <w:bookmarkEnd w:id="9"/>
      <w:bookmarkEnd w:id="10"/>
      <w:bookmarkEnd w:id="11"/>
    </w:p>
    <w:p w14:paraId="756B9596" w14:textId="77777777" w:rsidR="00912AE8" w:rsidRPr="004C42CF" w:rsidRDefault="00912AE8" w:rsidP="00401B64">
      <w:pPr>
        <w:spacing w:after="120"/>
        <w:rPr>
          <w:sz w:val="2"/>
          <w:szCs w:val="2"/>
        </w:rPr>
      </w:pPr>
    </w:p>
    <w:p w14:paraId="2C24C886" w14:textId="02819E16" w:rsidR="00D32176" w:rsidRPr="004C42CF" w:rsidRDefault="00912AE8" w:rsidP="00401B64">
      <w:pPr>
        <w:spacing w:after="120"/>
        <w:jc w:val="both"/>
        <w:rPr>
          <w:rFonts w:asciiTheme="majorHAnsi" w:hAnsiTheme="majorHAnsi"/>
        </w:rPr>
      </w:pPr>
      <w:r w:rsidRPr="004C42CF">
        <w:rPr>
          <w:rFonts w:asciiTheme="majorHAnsi" w:hAnsiTheme="majorHAnsi"/>
        </w:rPr>
        <w:t>The four DfID consortium partners, Save the Children International (SCI), Oxfam GB, Action Contre la Faim and Solidarites International provide WASH services to over 1</w:t>
      </w:r>
      <w:r w:rsidR="00401B64" w:rsidRPr="004C42CF">
        <w:rPr>
          <w:rFonts w:asciiTheme="majorHAnsi" w:hAnsiTheme="majorHAnsi"/>
        </w:rPr>
        <w:t>22,000 people in 29 locations of</w:t>
      </w:r>
      <w:r w:rsidRPr="004C42CF">
        <w:rPr>
          <w:rFonts w:asciiTheme="majorHAnsi" w:hAnsiTheme="majorHAnsi"/>
        </w:rPr>
        <w:t xml:space="preserve"> Sittwe Township.</w:t>
      </w:r>
      <w:r w:rsidR="00CD7B99">
        <w:rPr>
          <w:rStyle w:val="FootnoteReference"/>
          <w:rFonts w:asciiTheme="majorHAnsi" w:hAnsiTheme="majorHAnsi"/>
        </w:rPr>
        <w:footnoteReference w:id="4"/>
      </w:r>
      <w:r w:rsidRPr="004C42CF">
        <w:rPr>
          <w:rFonts w:asciiTheme="majorHAnsi" w:hAnsiTheme="majorHAnsi"/>
        </w:rPr>
        <w:t xml:space="preserve"> This KAP survey used a </w:t>
      </w:r>
      <w:r w:rsidR="00401B64" w:rsidRPr="004C42CF">
        <w:rPr>
          <w:rFonts w:asciiTheme="majorHAnsi" w:hAnsiTheme="majorHAnsi"/>
        </w:rPr>
        <w:t xml:space="preserve">stratified </w:t>
      </w:r>
      <w:r w:rsidRPr="004C42CF">
        <w:rPr>
          <w:rFonts w:asciiTheme="majorHAnsi" w:hAnsiTheme="majorHAnsi"/>
        </w:rPr>
        <w:t xml:space="preserve">random household sample of all direct beneficiaries of the project </w:t>
      </w:r>
      <w:r w:rsidR="00401B64" w:rsidRPr="004C42CF">
        <w:rPr>
          <w:rFonts w:asciiTheme="majorHAnsi" w:hAnsiTheme="majorHAnsi"/>
        </w:rPr>
        <w:t>ensuring</w:t>
      </w:r>
      <w:r w:rsidRPr="004C42CF">
        <w:rPr>
          <w:rFonts w:asciiTheme="majorHAnsi" w:hAnsiTheme="majorHAnsi"/>
        </w:rPr>
        <w:t xml:space="preserve"> a 95% confidence interval.  </w:t>
      </w:r>
      <w:r w:rsidR="00401B64" w:rsidRPr="004C42CF">
        <w:rPr>
          <w:rFonts w:asciiTheme="majorHAnsi" w:hAnsiTheme="majorHAnsi"/>
        </w:rPr>
        <w:t xml:space="preserve">Consideration was given to ensure a representative </w:t>
      </w:r>
      <w:r w:rsidR="005913D3" w:rsidRPr="004C42CF">
        <w:rPr>
          <w:rFonts w:asciiTheme="majorHAnsi" w:hAnsiTheme="majorHAnsi"/>
        </w:rPr>
        <w:t xml:space="preserve">random </w:t>
      </w:r>
      <w:r w:rsidR="00401B64" w:rsidRPr="004C42CF">
        <w:rPr>
          <w:rFonts w:asciiTheme="majorHAnsi" w:hAnsiTheme="majorHAnsi"/>
        </w:rPr>
        <w:t xml:space="preserve">sample from both </w:t>
      </w:r>
      <w:r w:rsidR="005913D3" w:rsidRPr="004C42CF">
        <w:rPr>
          <w:rFonts w:asciiTheme="majorHAnsi" w:hAnsiTheme="majorHAnsi"/>
        </w:rPr>
        <w:t xml:space="preserve">ethnicity and </w:t>
      </w:r>
      <w:r w:rsidR="00401B64" w:rsidRPr="004C42CF">
        <w:rPr>
          <w:rFonts w:asciiTheme="majorHAnsi" w:hAnsiTheme="majorHAnsi"/>
        </w:rPr>
        <w:t xml:space="preserve">the three </w:t>
      </w:r>
      <w:r w:rsidR="005913D3" w:rsidRPr="004C42CF">
        <w:rPr>
          <w:rFonts w:asciiTheme="majorHAnsi" w:hAnsiTheme="majorHAnsi"/>
        </w:rPr>
        <w:t xml:space="preserve">categories </w:t>
      </w:r>
      <w:r w:rsidR="00401B64" w:rsidRPr="004C42CF">
        <w:rPr>
          <w:rFonts w:asciiTheme="majorHAnsi" w:hAnsiTheme="majorHAnsi"/>
        </w:rPr>
        <w:t>of locations</w:t>
      </w:r>
      <w:proofErr w:type="gramStart"/>
      <w:r w:rsidR="00401B64" w:rsidRPr="004C42CF">
        <w:rPr>
          <w:rFonts w:asciiTheme="majorHAnsi" w:hAnsiTheme="majorHAnsi"/>
        </w:rPr>
        <w:t>;</w:t>
      </w:r>
      <w:proofErr w:type="gramEnd"/>
      <w:r w:rsidR="00401B64" w:rsidRPr="004C42CF">
        <w:rPr>
          <w:rFonts w:asciiTheme="majorHAnsi" w:hAnsiTheme="majorHAnsi"/>
        </w:rPr>
        <w:t xml:space="preserve"> </w:t>
      </w:r>
      <w:r w:rsidR="005913D3" w:rsidRPr="004C42CF">
        <w:rPr>
          <w:rFonts w:asciiTheme="majorHAnsi" w:hAnsiTheme="majorHAnsi"/>
        </w:rPr>
        <w:t xml:space="preserve">IDP camps, villages near </w:t>
      </w:r>
      <w:r w:rsidR="00401B64" w:rsidRPr="004C42CF">
        <w:rPr>
          <w:rFonts w:asciiTheme="majorHAnsi" w:hAnsiTheme="majorHAnsi"/>
        </w:rPr>
        <w:t>IDPs and villages in more remote locations north of the IDP camps.</w:t>
      </w:r>
    </w:p>
    <w:p w14:paraId="1A2D9878" w14:textId="77777777" w:rsidR="00D32176" w:rsidRPr="00F931B7" w:rsidRDefault="00D32176" w:rsidP="00401B64">
      <w:pPr>
        <w:spacing w:after="120"/>
        <w:rPr>
          <w:rFonts w:asciiTheme="majorHAnsi" w:hAnsiTheme="majorHAnsi"/>
          <w:sz w:val="8"/>
          <w:szCs w:val="8"/>
        </w:rPr>
      </w:pPr>
    </w:p>
    <w:p w14:paraId="2521AD75" w14:textId="4A80F09F" w:rsidR="009253D5" w:rsidRPr="00367577" w:rsidRDefault="00274B32" w:rsidP="00071E3C">
      <w:pPr>
        <w:pStyle w:val="Heading2"/>
        <w:spacing w:after="120"/>
        <w:rPr>
          <w:color w:val="548DD4" w:themeColor="text2" w:themeTint="99"/>
        </w:rPr>
      </w:pPr>
      <w:bookmarkStart w:id="12" w:name="_Toc292703941"/>
      <w:bookmarkStart w:id="13" w:name="_Toc292704159"/>
      <w:bookmarkStart w:id="14" w:name="_Toc294273138"/>
      <w:r w:rsidRPr="00367577">
        <w:rPr>
          <w:color w:val="548DD4" w:themeColor="text2" w:themeTint="99"/>
        </w:rPr>
        <w:t>Sampling</w:t>
      </w:r>
      <w:r w:rsidR="00747412" w:rsidRPr="00367577">
        <w:rPr>
          <w:color w:val="548DD4" w:themeColor="text2" w:themeTint="99"/>
        </w:rPr>
        <w:t xml:space="preserve"> Methodology</w:t>
      </w:r>
      <w:bookmarkEnd w:id="12"/>
      <w:bookmarkEnd w:id="13"/>
      <w:bookmarkEnd w:id="14"/>
    </w:p>
    <w:p w14:paraId="3F2EFDD2" w14:textId="3F69F531" w:rsidR="00EF4772" w:rsidRPr="00F931B7" w:rsidRDefault="00EB4D28" w:rsidP="00401B64">
      <w:pPr>
        <w:spacing w:after="120"/>
        <w:jc w:val="both"/>
        <w:rPr>
          <w:rFonts w:asciiTheme="majorHAnsi" w:hAnsiTheme="majorHAnsi"/>
        </w:rPr>
      </w:pPr>
      <w:r w:rsidRPr="004C42CF">
        <w:rPr>
          <w:rFonts w:asciiTheme="majorHAnsi" w:hAnsiTheme="majorHAnsi"/>
        </w:rPr>
        <w:t xml:space="preserve">DfID consortium partners </w:t>
      </w:r>
      <w:r w:rsidR="00C26846" w:rsidRPr="004C42CF">
        <w:rPr>
          <w:rFonts w:asciiTheme="majorHAnsi" w:hAnsiTheme="majorHAnsi"/>
        </w:rPr>
        <w:t>provide coverage of WASH services to over 122,000 people (22,250</w:t>
      </w:r>
      <w:r w:rsidR="001B149C" w:rsidRPr="004C42CF">
        <w:rPr>
          <w:rFonts w:asciiTheme="majorHAnsi" w:hAnsiTheme="majorHAnsi"/>
        </w:rPr>
        <w:t xml:space="preserve"> HH) in</w:t>
      </w:r>
      <w:r w:rsidRPr="004C42CF">
        <w:rPr>
          <w:rFonts w:asciiTheme="majorHAnsi" w:hAnsiTheme="majorHAnsi"/>
        </w:rPr>
        <w:t xml:space="preserve"> 29 l</w:t>
      </w:r>
      <w:r w:rsidR="00C26846" w:rsidRPr="004C42CF">
        <w:rPr>
          <w:rFonts w:asciiTheme="majorHAnsi" w:hAnsiTheme="majorHAnsi"/>
        </w:rPr>
        <w:t>ocations of</w:t>
      </w:r>
      <w:r w:rsidRPr="004C42CF">
        <w:rPr>
          <w:rFonts w:asciiTheme="majorHAnsi" w:hAnsiTheme="majorHAnsi"/>
        </w:rPr>
        <w:t xml:space="preserve"> Sittwe Township</w:t>
      </w:r>
      <w:proofErr w:type="gramStart"/>
      <w:r w:rsidRPr="004C42CF">
        <w:rPr>
          <w:rFonts w:asciiTheme="majorHAnsi" w:hAnsiTheme="majorHAnsi"/>
        </w:rPr>
        <w:t>;</w:t>
      </w:r>
      <w:proofErr w:type="gramEnd"/>
      <w:r w:rsidRPr="004C42CF">
        <w:rPr>
          <w:rFonts w:asciiTheme="majorHAnsi" w:hAnsiTheme="majorHAnsi"/>
        </w:rPr>
        <w:t xml:space="preserve"> 12 IDP camps </w:t>
      </w:r>
      <w:r w:rsidR="00C26846" w:rsidRPr="004C42CF">
        <w:rPr>
          <w:rFonts w:asciiTheme="majorHAnsi" w:hAnsiTheme="majorHAnsi"/>
        </w:rPr>
        <w:t xml:space="preserve">(70,000 people) </w:t>
      </w:r>
      <w:r w:rsidRPr="004C42CF">
        <w:rPr>
          <w:rFonts w:asciiTheme="majorHAnsi" w:hAnsiTheme="majorHAnsi"/>
        </w:rPr>
        <w:t>and 17 villages</w:t>
      </w:r>
      <w:r w:rsidR="00C26846" w:rsidRPr="004C42CF">
        <w:rPr>
          <w:rFonts w:asciiTheme="majorHAnsi" w:hAnsiTheme="majorHAnsi"/>
        </w:rPr>
        <w:t xml:space="preserve"> (52,000 people)</w:t>
      </w:r>
      <w:r w:rsidRPr="004C42CF">
        <w:rPr>
          <w:rFonts w:asciiTheme="majorHAnsi" w:hAnsiTheme="majorHAnsi"/>
        </w:rPr>
        <w:t>. The map below illustrates their relative location</w:t>
      </w:r>
      <w:r w:rsidR="00E24EAF" w:rsidRPr="004C42CF">
        <w:rPr>
          <w:rFonts w:asciiTheme="majorHAnsi" w:hAnsiTheme="majorHAnsi"/>
        </w:rPr>
        <w:t xml:space="preserve">s. </w:t>
      </w:r>
      <w:r w:rsidR="00E24EAF" w:rsidRPr="004C42CF">
        <w:rPr>
          <w:rFonts w:asciiTheme="majorHAnsi" w:hAnsiTheme="majorHAnsi"/>
          <w:i/>
        </w:rPr>
        <w:t>IDP camps</w:t>
      </w:r>
      <w:r w:rsidR="00E24EAF" w:rsidRPr="004C42CF">
        <w:rPr>
          <w:rFonts w:asciiTheme="majorHAnsi" w:hAnsiTheme="majorHAnsi"/>
        </w:rPr>
        <w:t xml:space="preserve"> are denoted with a white symbol while </w:t>
      </w:r>
      <w:r w:rsidR="00E24EAF" w:rsidRPr="004C42CF">
        <w:rPr>
          <w:rFonts w:asciiTheme="majorHAnsi" w:hAnsiTheme="majorHAnsi"/>
          <w:i/>
        </w:rPr>
        <w:t>villages near to IDP camp</w:t>
      </w:r>
      <w:r w:rsidR="001B149C" w:rsidRPr="004C42CF">
        <w:rPr>
          <w:rFonts w:asciiTheme="majorHAnsi" w:hAnsiTheme="majorHAnsi"/>
          <w:i/>
        </w:rPr>
        <w:t>s</w:t>
      </w:r>
      <w:r w:rsidR="00E24EAF" w:rsidRPr="004C42CF">
        <w:rPr>
          <w:rFonts w:asciiTheme="majorHAnsi" w:hAnsiTheme="majorHAnsi"/>
        </w:rPr>
        <w:t xml:space="preserve"> </w:t>
      </w:r>
      <w:r w:rsidR="001B149C" w:rsidRPr="004C42CF">
        <w:rPr>
          <w:rFonts w:asciiTheme="majorHAnsi" w:hAnsiTheme="majorHAnsi"/>
        </w:rPr>
        <w:t xml:space="preserve">are in </w:t>
      </w:r>
      <w:r w:rsidR="00E24EAF" w:rsidRPr="004C42CF">
        <w:rPr>
          <w:rFonts w:asciiTheme="majorHAnsi" w:hAnsiTheme="majorHAnsi"/>
        </w:rPr>
        <w:t xml:space="preserve">pink </w:t>
      </w:r>
      <w:r w:rsidR="001B149C" w:rsidRPr="004C42CF">
        <w:rPr>
          <w:rFonts w:asciiTheme="majorHAnsi" w:hAnsiTheme="majorHAnsi"/>
        </w:rPr>
        <w:t xml:space="preserve">and </w:t>
      </w:r>
      <w:r w:rsidR="001B149C" w:rsidRPr="004C42CF">
        <w:rPr>
          <w:rFonts w:asciiTheme="majorHAnsi" w:hAnsiTheme="majorHAnsi"/>
          <w:i/>
        </w:rPr>
        <w:t>villages in remote areas</w:t>
      </w:r>
      <w:r w:rsidR="00E24EAF" w:rsidRPr="004C42CF">
        <w:rPr>
          <w:rFonts w:asciiTheme="majorHAnsi" w:hAnsiTheme="majorHAnsi"/>
        </w:rPr>
        <w:t xml:space="preserve"> denoted with a green symbol.</w:t>
      </w:r>
      <w:r w:rsidR="00785817" w:rsidRPr="004C42CF">
        <w:rPr>
          <w:rFonts w:asciiTheme="majorHAnsi" w:hAnsiTheme="majorHAnsi"/>
        </w:rPr>
        <w:t xml:space="preserve"> The six locations with</w:t>
      </w:r>
      <w:r w:rsidR="002631A7" w:rsidRPr="004C42CF">
        <w:rPr>
          <w:rFonts w:asciiTheme="majorHAnsi" w:hAnsiTheme="majorHAnsi"/>
        </w:rPr>
        <w:t xml:space="preserve"> Rakhine peoples of concern are</w:t>
      </w:r>
      <w:r w:rsidR="00785817" w:rsidRPr="004C42CF">
        <w:rPr>
          <w:rFonts w:asciiTheme="majorHAnsi" w:hAnsiTheme="majorHAnsi"/>
        </w:rPr>
        <w:t xml:space="preserve"> also</w:t>
      </w:r>
      <w:r w:rsidR="002631A7" w:rsidRPr="004C42CF">
        <w:rPr>
          <w:rFonts w:asciiTheme="majorHAnsi" w:hAnsiTheme="majorHAnsi"/>
        </w:rPr>
        <w:t xml:space="preserve"> highlighted.</w:t>
      </w:r>
      <w:r w:rsidR="00785817" w:rsidRPr="004C42CF">
        <w:rPr>
          <w:rFonts w:asciiTheme="majorHAnsi" w:hAnsiTheme="majorHAnsi"/>
        </w:rPr>
        <w:t xml:space="preserve"> </w:t>
      </w:r>
    </w:p>
    <w:p w14:paraId="40382152" w14:textId="165DF1EE" w:rsidR="00274B32" w:rsidRPr="00274B32" w:rsidRDefault="004C42CF">
      <w:pPr>
        <w:rPr>
          <w:rFonts w:asciiTheme="majorHAnsi" w:hAnsiTheme="majorHAnsi"/>
        </w:rPr>
      </w:pPr>
      <w:r w:rsidRPr="00274B32">
        <w:rPr>
          <w:rFonts w:asciiTheme="majorHAnsi" w:hAnsiTheme="majorHAnsi"/>
          <w:noProof/>
          <w:lang w:val="en-US"/>
        </w:rPr>
        <w:drawing>
          <wp:anchor distT="0" distB="0" distL="114300" distR="114300" simplePos="0" relativeHeight="251658240" behindDoc="0" locked="0" layoutInCell="1" allowOverlap="1" wp14:anchorId="4B368DDD" wp14:editId="5417EC82">
            <wp:simplePos x="0" y="0"/>
            <wp:positionH relativeFrom="column">
              <wp:posOffset>158750</wp:posOffset>
            </wp:positionH>
            <wp:positionV relativeFrom="paragraph">
              <wp:posOffset>147320</wp:posOffset>
            </wp:positionV>
            <wp:extent cx="3384550" cy="3321050"/>
            <wp:effectExtent l="25400" t="25400" r="19050" b="317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ID Target Area Map_Fotor.jpg"/>
                    <pic:cNvPicPr/>
                  </pic:nvPicPr>
                  <pic:blipFill>
                    <a:blip r:embed="rId17">
                      <a:extLst>
                        <a:ext uri="{28A0092B-C50C-407E-A947-70E740481C1C}">
                          <a14:useLocalDpi xmlns:a14="http://schemas.microsoft.com/office/drawing/2010/main"/>
                        </a:ext>
                      </a:extLst>
                    </a:blip>
                    <a:stretch>
                      <a:fillRect/>
                    </a:stretch>
                  </pic:blipFill>
                  <pic:spPr>
                    <a:xfrm>
                      <a:off x="0" y="0"/>
                      <a:ext cx="3384550" cy="3321050"/>
                    </a:xfrm>
                    <a:prstGeom prst="rect">
                      <a:avLst/>
                    </a:prstGeom>
                    <a:ln w="25400">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061EA">
        <w:rPr>
          <w:rFonts w:asciiTheme="majorHAnsi" w:hAnsiTheme="majorHAnsi"/>
          <w:noProof/>
          <w:lang w:val="en-US"/>
        </w:rPr>
        <mc:AlternateContent>
          <mc:Choice Requires="wps">
            <w:drawing>
              <wp:anchor distT="0" distB="0" distL="114300" distR="114300" simplePos="0" relativeHeight="251663360" behindDoc="0" locked="0" layoutInCell="1" allowOverlap="1" wp14:anchorId="2BB648F3" wp14:editId="2D170709">
                <wp:simplePos x="0" y="0"/>
                <wp:positionH relativeFrom="column">
                  <wp:posOffset>457200</wp:posOffset>
                </wp:positionH>
                <wp:positionV relativeFrom="paragraph">
                  <wp:posOffset>156845</wp:posOffset>
                </wp:positionV>
                <wp:extent cx="3200400" cy="457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909E7F" w14:textId="77777777" w:rsidR="00977094" w:rsidRDefault="00977094" w:rsidP="009712C9">
                            <w:pPr>
                              <w:jc w:val="center"/>
                              <w:rPr>
                                <w:rFonts w:ascii="Arial" w:hAnsi="Arial" w:cs="Arial"/>
                                <w:b/>
                                <w:color w:val="FFFF00"/>
                              </w:rPr>
                            </w:pPr>
                            <w:r w:rsidRPr="000061EA">
                              <w:rPr>
                                <w:rFonts w:ascii="Arial" w:hAnsi="Arial" w:cs="Arial"/>
                                <w:b/>
                                <w:color w:val="FFFF00"/>
                              </w:rPr>
                              <w:t>Target Area</w:t>
                            </w:r>
                            <w:proofErr w:type="gramStart"/>
                            <w:r w:rsidRPr="000061EA">
                              <w:rPr>
                                <w:rFonts w:ascii="Arial" w:hAnsi="Arial" w:cs="Arial"/>
                                <w:b/>
                                <w:color w:val="FFFF00"/>
                              </w:rPr>
                              <w:t xml:space="preserve">: </w:t>
                            </w:r>
                            <w:r>
                              <w:rPr>
                                <w:rFonts w:ascii="Arial" w:hAnsi="Arial" w:cs="Arial"/>
                                <w:b/>
                                <w:color w:val="FFFF00"/>
                              </w:rPr>
                              <w:t xml:space="preserve">  </w:t>
                            </w:r>
                            <w:r w:rsidRPr="000061EA">
                              <w:rPr>
                                <w:rFonts w:ascii="Arial" w:hAnsi="Arial" w:cs="Arial"/>
                                <w:b/>
                                <w:color w:val="FFFF00"/>
                              </w:rPr>
                              <w:t>29</w:t>
                            </w:r>
                            <w:proofErr w:type="gramEnd"/>
                            <w:r w:rsidRPr="000061EA">
                              <w:rPr>
                                <w:rFonts w:ascii="Arial" w:hAnsi="Arial" w:cs="Arial"/>
                                <w:b/>
                                <w:color w:val="FFFF00"/>
                              </w:rPr>
                              <w:t xml:space="preserve"> IDP Camps and Villages </w:t>
                            </w:r>
                            <w:r>
                              <w:rPr>
                                <w:rFonts w:ascii="Arial" w:hAnsi="Arial" w:cs="Arial"/>
                                <w:b/>
                                <w:color w:val="FFFF00"/>
                              </w:rPr>
                              <w:t xml:space="preserve"> </w:t>
                            </w:r>
                          </w:p>
                          <w:p w14:paraId="7546347C" w14:textId="0E0C69F3" w:rsidR="00977094" w:rsidRPr="000061EA" w:rsidRDefault="00977094" w:rsidP="009712C9">
                            <w:pPr>
                              <w:jc w:val="center"/>
                              <w:rPr>
                                <w:rFonts w:ascii="Arial" w:hAnsi="Arial" w:cs="Arial"/>
                                <w:b/>
                                <w:color w:val="FFFF00"/>
                              </w:rPr>
                            </w:pPr>
                            <w:r>
                              <w:rPr>
                                <w:rFonts w:ascii="Arial" w:hAnsi="Arial" w:cs="Arial"/>
                                <w:b/>
                                <w:color w:val="FFFF00"/>
                              </w:rPr>
                              <w:t xml:space="preserve">           </w:t>
                            </w:r>
                            <w:proofErr w:type="gramStart"/>
                            <w:r>
                              <w:rPr>
                                <w:rFonts w:ascii="Arial" w:hAnsi="Arial" w:cs="Arial"/>
                                <w:b/>
                                <w:color w:val="FFFF00"/>
                              </w:rPr>
                              <w:t>i</w:t>
                            </w:r>
                            <w:r w:rsidRPr="000061EA">
                              <w:rPr>
                                <w:rFonts w:ascii="Arial" w:hAnsi="Arial" w:cs="Arial"/>
                                <w:b/>
                                <w:color w:val="FFFF00"/>
                              </w:rPr>
                              <w:t>n</w:t>
                            </w:r>
                            <w:proofErr w:type="gramEnd"/>
                            <w:r w:rsidRPr="000061EA">
                              <w:rPr>
                                <w:rFonts w:ascii="Arial" w:hAnsi="Arial" w:cs="Arial"/>
                                <w:b/>
                                <w:color w:val="FFFF00"/>
                              </w:rPr>
                              <w:t xml:space="preserve"> Sittwe Township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36pt;margin-top:12.35pt;width:25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" filled="f" stroked="f">
                <v:textbox>
                  <w:txbxContent>
                    <w:p w14:paraId="47909E7F" w14:textId="77777777" w:rsidR="00977094" w:rsidRDefault="00977094" w:rsidP="009712C9">
                      <w:pPr>
                        <w:jc w:val="center"/>
                        <w:rPr>
                          <w:rFonts w:ascii="Arial" w:hAnsi="Arial" w:cs="Arial"/>
                          <w:b/>
                          <w:color w:val="FFFF00"/>
                        </w:rPr>
                      </w:pPr>
                      <w:r w:rsidRPr="000061EA">
                        <w:rPr>
                          <w:rFonts w:ascii="Arial" w:hAnsi="Arial" w:cs="Arial"/>
                          <w:b/>
                          <w:color w:val="FFFF00"/>
                        </w:rPr>
                        <w:t>Target Area</w:t>
                      </w:r>
                      <w:proofErr w:type="gramStart"/>
                      <w:r w:rsidRPr="000061EA">
                        <w:rPr>
                          <w:rFonts w:ascii="Arial" w:hAnsi="Arial" w:cs="Arial"/>
                          <w:b/>
                          <w:color w:val="FFFF00"/>
                        </w:rPr>
                        <w:t xml:space="preserve">: </w:t>
                      </w:r>
                      <w:r>
                        <w:rPr>
                          <w:rFonts w:ascii="Arial" w:hAnsi="Arial" w:cs="Arial"/>
                          <w:b/>
                          <w:color w:val="FFFF00"/>
                        </w:rPr>
                        <w:t xml:space="preserve">  </w:t>
                      </w:r>
                      <w:r w:rsidRPr="000061EA">
                        <w:rPr>
                          <w:rFonts w:ascii="Arial" w:hAnsi="Arial" w:cs="Arial"/>
                          <w:b/>
                          <w:color w:val="FFFF00"/>
                        </w:rPr>
                        <w:t>29</w:t>
                      </w:r>
                      <w:proofErr w:type="gramEnd"/>
                      <w:r w:rsidRPr="000061EA">
                        <w:rPr>
                          <w:rFonts w:ascii="Arial" w:hAnsi="Arial" w:cs="Arial"/>
                          <w:b/>
                          <w:color w:val="FFFF00"/>
                        </w:rPr>
                        <w:t xml:space="preserve"> IDP Camps and Villages </w:t>
                      </w:r>
                      <w:r>
                        <w:rPr>
                          <w:rFonts w:ascii="Arial" w:hAnsi="Arial" w:cs="Arial"/>
                          <w:b/>
                          <w:color w:val="FFFF00"/>
                        </w:rPr>
                        <w:t xml:space="preserve"> </w:t>
                      </w:r>
                    </w:p>
                    <w:p w14:paraId="7546347C" w14:textId="0E0C69F3" w:rsidR="00977094" w:rsidRPr="000061EA" w:rsidRDefault="00977094" w:rsidP="009712C9">
                      <w:pPr>
                        <w:jc w:val="center"/>
                        <w:rPr>
                          <w:rFonts w:ascii="Arial" w:hAnsi="Arial" w:cs="Arial"/>
                          <w:b/>
                          <w:color w:val="FFFF00"/>
                        </w:rPr>
                      </w:pPr>
                      <w:r>
                        <w:rPr>
                          <w:rFonts w:ascii="Arial" w:hAnsi="Arial" w:cs="Arial"/>
                          <w:b/>
                          <w:color w:val="FFFF00"/>
                        </w:rPr>
                        <w:t xml:space="preserve">           </w:t>
                      </w:r>
                      <w:proofErr w:type="gramStart"/>
                      <w:r>
                        <w:rPr>
                          <w:rFonts w:ascii="Arial" w:hAnsi="Arial" w:cs="Arial"/>
                          <w:b/>
                          <w:color w:val="FFFF00"/>
                        </w:rPr>
                        <w:t>i</w:t>
                      </w:r>
                      <w:r w:rsidRPr="000061EA">
                        <w:rPr>
                          <w:rFonts w:ascii="Arial" w:hAnsi="Arial" w:cs="Arial"/>
                          <w:b/>
                          <w:color w:val="FFFF00"/>
                        </w:rPr>
                        <w:t>n</w:t>
                      </w:r>
                      <w:proofErr w:type="gramEnd"/>
                      <w:r w:rsidRPr="000061EA">
                        <w:rPr>
                          <w:rFonts w:ascii="Arial" w:hAnsi="Arial" w:cs="Arial"/>
                          <w:b/>
                          <w:color w:val="FFFF00"/>
                        </w:rPr>
                        <w:t xml:space="preserve"> Sittwe Township</w:t>
                      </w:r>
                    </w:p>
                  </w:txbxContent>
                </v:textbox>
                <w10:wrap type="square"/>
              </v:shape>
            </w:pict>
          </mc:Fallback>
        </mc:AlternateContent>
      </w:r>
    </w:p>
    <w:p w14:paraId="446313E4" w14:textId="768041CE" w:rsidR="00274B32" w:rsidRDefault="000061EA">
      <w:pPr>
        <w:rPr>
          <w:rFonts w:asciiTheme="majorHAnsi" w:hAnsiTheme="majorHAnsi"/>
        </w:rPr>
      </w:pPr>
      <w:r>
        <w:rPr>
          <w:rFonts w:asciiTheme="majorHAnsi" w:hAnsiTheme="majorHAnsi"/>
          <w:noProof/>
          <w:lang w:val="en-US"/>
        </w:rPr>
        <w:drawing>
          <wp:anchor distT="0" distB="0" distL="114300" distR="114300" simplePos="0" relativeHeight="251664384" behindDoc="0" locked="0" layoutInCell="1" allowOverlap="1" wp14:anchorId="69A608F2" wp14:editId="68C4BCB3">
            <wp:simplePos x="0" y="0"/>
            <wp:positionH relativeFrom="column">
              <wp:posOffset>82550</wp:posOffset>
            </wp:positionH>
            <wp:positionV relativeFrom="paragraph">
              <wp:posOffset>66040</wp:posOffset>
            </wp:positionV>
            <wp:extent cx="1860550" cy="33366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twe in Myanmar_Fotor.jpg"/>
                    <pic:cNvPicPr/>
                  </pic:nvPicPr>
                  <pic:blipFill>
                    <a:blip r:embed="rId18">
                      <a:extLst>
                        <a:ext uri="{28A0092B-C50C-407E-A947-70E740481C1C}">
                          <a14:useLocalDpi xmlns:a14="http://schemas.microsoft.com/office/drawing/2010/main"/>
                        </a:ext>
                      </a:extLst>
                    </a:blip>
                    <a:stretch>
                      <a:fillRect/>
                    </a:stretch>
                  </pic:blipFill>
                  <pic:spPr>
                    <a:xfrm>
                      <a:off x="0" y="0"/>
                      <a:ext cx="1860550" cy="33366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7FEE826" w14:textId="77777777" w:rsidR="00274B32" w:rsidRDefault="00274B32">
      <w:pPr>
        <w:rPr>
          <w:rFonts w:asciiTheme="majorHAnsi" w:hAnsiTheme="majorHAnsi"/>
        </w:rPr>
      </w:pPr>
    </w:p>
    <w:p w14:paraId="791CB6DE" w14:textId="77777777" w:rsidR="00274B32" w:rsidRDefault="00274B32">
      <w:pPr>
        <w:rPr>
          <w:rFonts w:asciiTheme="majorHAnsi" w:hAnsiTheme="majorHAnsi"/>
        </w:rPr>
      </w:pPr>
    </w:p>
    <w:p w14:paraId="5DA06446" w14:textId="23F36FA8" w:rsidR="00274B32" w:rsidRDefault="00274B32">
      <w:pPr>
        <w:rPr>
          <w:rFonts w:asciiTheme="majorHAnsi" w:hAnsiTheme="majorHAnsi"/>
        </w:rPr>
      </w:pPr>
    </w:p>
    <w:p w14:paraId="6D33B48F" w14:textId="77777777" w:rsidR="00274B32" w:rsidRDefault="00274B32">
      <w:pPr>
        <w:rPr>
          <w:rFonts w:asciiTheme="majorHAnsi" w:hAnsiTheme="majorHAnsi"/>
        </w:rPr>
      </w:pPr>
    </w:p>
    <w:p w14:paraId="73A2B7B3" w14:textId="77777777" w:rsidR="00274B32" w:rsidRDefault="00274B32">
      <w:pPr>
        <w:rPr>
          <w:rFonts w:asciiTheme="majorHAnsi" w:hAnsiTheme="majorHAnsi"/>
        </w:rPr>
      </w:pPr>
    </w:p>
    <w:p w14:paraId="446E41A4" w14:textId="092C74CC" w:rsidR="00274B32" w:rsidRDefault="00274B32">
      <w:pPr>
        <w:rPr>
          <w:rFonts w:asciiTheme="majorHAnsi" w:hAnsiTheme="majorHAnsi"/>
        </w:rPr>
      </w:pPr>
    </w:p>
    <w:p w14:paraId="54D914E8" w14:textId="6C16E636" w:rsidR="00274B32" w:rsidRDefault="00274B32">
      <w:pPr>
        <w:rPr>
          <w:rFonts w:asciiTheme="majorHAnsi" w:hAnsiTheme="majorHAnsi"/>
        </w:rPr>
      </w:pPr>
    </w:p>
    <w:p w14:paraId="2703EA70" w14:textId="77777777" w:rsidR="00274B32" w:rsidRDefault="00274B32">
      <w:pPr>
        <w:rPr>
          <w:rFonts w:asciiTheme="majorHAnsi" w:hAnsiTheme="majorHAnsi"/>
        </w:rPr>
      </w:pPr>
    </w:p>
    <w:p w14:paraId="5C45A294" w14:textId="77777777" w:rsidR="00274B32" w:rsidRDefault="00274B32">
      <w:pPr>
        <w:rPr>
          <w:rFonts w:asciiTheme="majorHAnsi" w:hAnsiTheme="majorHAnsi"/>
        </w:rPr>
      </w:pPr>
    </w:p>
    <w:p w14:paraId="767AE413" w14:textId="77777777" w:rsidR="00274B32" w:rsidRDefault="00274B32">
      <w:pPr>
        <w:rPr>
          <w:rFonts w:asciiTheme="majorHAnsi" w:hAnsiTheme="majorHAnsi"/>
        </w:rPr>
      </w:pPr>
    </w:p>
    <w:p w14:paraId="638CA4B6" w14:textId="77777777" w:rsidR="00274B32" w:rsidRDefault="00274B32">
      <w:pPr>
        <w:rPr>
          <w:rFonts w:asciiTheme="majorHAnsi" w:hAnsiTheme="majorHAnsi"/>
        </w:rPr>
      </w:pPr>
    </w:p>
    <w:p w14:paraId="2597C50B" w14:textId="5EE78C7A" w:rsidR="00274B32" w:rsidRDefault="00274B32">
      <w:pPr>
        <w:rPr>
          <w:rFonts w:asciiTheme="majorHAnsi" w:hAnsiTheme="majorHAnsi"/>
        </w:rPr>
      </w:pPr>
    </w:p>
    <w:p w14:paraId="4A6EF230" w14:textId="3026F62D" w:rsidR="00274B32" w:rsidRDefault="004C42CF">
      <w:pPr>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65408" behindDoc="0" locked="0" layoutInCell="1" allowOverlap="1" wp14:anchorId="54DE6628" wp14:editId="1DC261EF">
                <wp:simplePos x="0" y="0"/>
                <wp:positionH relativeFrom="column">
                  <wp:posOffset>95250</wp:posOffset>
                </wp:positionH>
                <wp:positionV relativeFrom="paragraph">
                  <wp:posOffset>125730</wp:posOffset>
                </wp:positionV>
                <wp:extent cx="1143000" cy="50990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143000" cy="5099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C8B711" w14:textId="21570652" w:rsidR="00977094" w:rsidRPr="00EA2081" w:rsidRDefault="00977094" w:rsidP="00747412">
                            <w:pPr>
                              <w:jc w:val="center"/>
                              <w:rPr>
                                <w:rFonts w:asciiTheme="majorHAnsi" w:hAnsiTheme="majorHAnsi"/>
                                <w:sz w:val="18"/>
                                <w:szCs w:val="18"/>
                              </w:rPr>
                            </w:pPr>
                            <w:r w:rsidRPr="00EA2081">
                              <w:rPr>
                                <w:rFonts w:asciiTheme="majorHAnsi" w:hAnsiTheme="majorHAnsi"/>
                                <w:sz w:val="18"/>
                                <w:szCs w:val="18"/>
                              </w:rPr>
                              <w:t>Sittwe Township within Rakhine State and Myanmar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7.5pt;margin-top:9.9pt;width:90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GLoNECAAAV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" filled="f" stroked="f">
                <v:textbox>
                  <w:txbxContent>
                    <w:p w14:paraId="5AC8B711" w14:textId="21570652" w:rsidR="00977094" w:rsidRPr="00EA2081" w:rsidRDefault="00977094" w:rsidP="00747412">
                      <w:pPr>
                        <w:jc w:val="center"/>
                        <w:rPr>
                          <w:rFonts w:asciiTheme="majorHAnsi" w:hAnsiTheme="majorHAnsi"/>
                          <w:sz w:val="18"/>
                          <w:szCs w:val="18"/>
                        </w:rPr>
                      </w:pPr>
                      <w:r w:rsidRPr="00EA2081">
                        <w:rPr>
                          <w:rFonts w:asciiTheme="majorHAnsi" w:hAnsiTheme="majorHAnsi"/>
                          <w:sz w:val="18"/>
                          <w:szCs w:val="18"/>
                        </w:rPr>
                        <w:t>Sittwe Township within Rakhine State and Myanmar</w:t>
                      </w:r>
                    </w:p>
                  </w:txbxContent>
                </v:textbox>
                <w10:wrap type="square"/>
              </v:shape>
            </w:pict>
          </mc:Fallback>
        </mc:AlternateContent>
      </w:r>
    </w:p>
    <w:p w14:paraId="1D4E0850" w14:textId="5132E94E" w:rsidR="00274B32" w:rsidRDefault="004C42CF">
      <w:pPr>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725824" behindDoc="0" locked="0" layoutInCell="1" allowOverlap="1" wp14:anchorId="08FC6121" wp14:editId="646272EC">
                <wp:simplePos x="0" y="0"/>
                <wp:positionH relativeFrom="column">
                  <wp:posOffset>-3448050</wp:posOffset>
                </wp:positionH>
                <wp:positionV relativeFrom="paragraph">
                  <wp:posOffset>53975</wp:posOffset>
                </wp:positionV>
                <wp:extent cx="1257300" cy="571500"/>
                <wp:effectExtent l="0" t="0" r="0" b="12700"/>
                <wp:wrapSquare wrapText="bothSides"/>
                <wp:docPr id="69" name="Text Box 69"/>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F124B0" w14:textId="4021C8D1" w:rsidR="00977094" w:rsidRPr="00E12192" w:rsidRDefault="00977094">
                            <w:pPr>
                              <w:rPr>
                                <w:rFonts w:asciiTheme="majorHAnsi" w:hAnsiTheme="majorHAnsi"/>
                                <w:b/>
                                <w:color w:val="FFFFFF" w:themeColor="background1"/>
                                <w:sz w:val="20"/>
                                <w:szCs w:val="20"/>
                              </w:rPr>
                            </w:pPr>
                            <w:r w:rsidRPr="00E12192">
                              <w:rPr>
                                <w:rFonts w:asciiTheme="majorHAnsi" w:hAnsiTheme="majorHAnsi"/>
                                <w:b/>
                                <w:color w:val="FFFFFF" w:themeColor="background1"/>
                                <w:sz w:val="20"/>
                                <w:szCs w:val="20"/>
                              </w:rPr>
                              <w:t>IDP Camps</w:t>
                            </w:r>
                          </w:p>
                          <w:p w14:paraId="2E234701" w14:textId="6B21C0E2" w:rsidR="00977094" w:rsidRPr="00E12192" w:rsidRDefault="00977094">
                            <w:pPr>
                              <w:rPr>
                                <w:rFonts w:asciiTheme="majorHAnsi" w:hAnsiTheme="majorHAnsi"/>
                                <w:b/>
                                <w:color w:val="FF66FF"/>
                                <w:sz w:val="20"/>
                                <w:szCs w:val="20"/>
                              </w:rPr>
                            </w:pPr>
                            <w:r w:rsidRPr="00E12192">
                              <w:rPr>
                                <w:rFonts w:asciiTheme="majorHAnsi" w:hAnsiTheme="majorHAnsi"/>
                                <w:b/>
                                <w:color w:val="FF66FF"/>
                                <w:sz w:val="20"/>
                                <w:szCs w:val="20"/>
                              </w:rPr>
                              <w:t>Villages near camps</w:t>
                            </w:r>
                          </w:p>
                          <w:p w14:paraId="18421A37" w14:textId="08F18F79" w:rsidR="00977094" w:rsidRPr="00E12192" w:rsidRDefault="00977094">
                            <w:pPr>
                              <w:rPr>
                                <w:rFonts w:asciiTheme="majorHAnsi" w:hAnsiTheme="majorHAnsi"/>
                                <w:b/>
                                <w:color w:val="66FF66"/>
                                <w:sz w:val="20"/>
                                <w:szCs w:val="20"/>
                              </w:rPr>
                            </w:pPr>
                            <w:r w:rsidRPr="00E12192">
                              <w:rPr>
                                <w:rFonts w:asciiTheme="majorHAnsi" w:hAnsiTheme="majorHAnsi"/>
                                <w:b/>
                                <w:color w:val="66FF66"/>
                                <w:sz w:val="20"/>
                                <w:szCs w:val="20"/>
                              </w:rPr>
                              <w:t>Remote villages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32" type="#_x0000_t202" style="position:absolute;margin-left:-271.45pt;margin-top:4.25pt;width:99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XdKtICAAAX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" filled="f" stroked="f">
                <v:textbox>
                  <w:txbxContent>
                    <w:p w14:paraId="06F124B0" w14:textId="4021C8D1" w:rsidR="00977094" w:rsidRPr="00E12192" w:rsidRDefault="00977094">
                      <w:pPr>
                        <w:rPr>
                          <w:rFonts w:asciiTheme="majorHAnsi" w:hAnsiTheme="majorHAnsi"/>
                          <w:b/>
                          <w:color w:val="FFFFFF" w:themeColor="background1"/>
                          <w:sz w:val="20"/>
                          <w:szCs w:val="20"/>
                        </w:rPr>
                      </w:pPr>
                      <w:r w:rsidRPr="00E12192">
                        <w:rPr>
                          <w:rFonts w:asciiTheme="majorHAnsi" w:hAnsiTheme="majorHAnsi"/>
                          <w:b/>
                          <w:color w:val="FFFFFF" w:themeColor="background1"/>
                          <w:sz w:val="20"/>
                          <w:szCs w:val="20"/>
                        </w:rPr>
                        <w:t>IDP Camps</w:t>
                      </w:r>
                    </w:p>
                    <w:p w14:paraId="2E234701" w14:textId="6B21C0E2" w:rsidR="00977094" w:rsidRPr="00E12192" w:rsidRDefault="00977094">
                      <w:pPr>
                        <w:rPr>
                          <w:rFonts w:asciiTheme="majorHAnsi" w:hAnsiTheme="majorHAnsi"/>
                          <w:b/>
                          <w:color w:val="FF66FF"/>
                          <w:sz w:val="20"/>
                          <w:szCs w:val="20"/>
                        </w:rPr>
                      </w:pPr>
                      <w:r w:rsidRPr="00E12192">
                        <w:rPr>
                          <w:rFonts w:asciiTheme="majorHAnsi" w:hAnsiTheme="majorHAnsi"/>
                          <w:b/>
                          <w:color w:val="FF66FF"/>
                          <w:sz w:val="20"/>
                          <w:szCs w:val="20"/>
                        </w:rPr>
                        <w:t>Villages near camps</w:t>
                      </w:r>
                    </w:p>
                    <w:p w14:paraId="18421A37" w14:textId="08F18F79" w:rsidR="00977094" w:rsidRPr="00E12192" w:rsidRDefault="00977094">
                      <w:pPr>
                        <w:rPr>
                          <w:rFonts w:asciiTheme="majorHAnsi" w:hAnsiTheme="majorHAnsi"/>
                          <w:b/>
                          <w:color w:val="66FF66"/>
                          <w:sz w:val="20"/>
                          <w:szCs w:val="20"/>
                        </w:rPr>
                      </w:pPr>
                      <w:r w:rsidRPr="00E12192">
                        <w:rPr>
                          <w:rFonts w:asciiTheme="majorHAnsi" w:hAnsiTheme="majorHAnsi"/>
                          <w:b/>
                          <w:color w:val="66FF66"/>
                          <w:sz w:val="20"/>
                          <w:szCs w:val="20"/>
                        </w:rPr>
                        <w:t>Remote villages</w:t>
                      </w:r>
                    </w:p>
                  </w:txbxContent>
                </v:textbox>
                <w10:wrap type="square"/>
              </v:shape>
            </w:pict>
          </mc:Fallback>
        </mc:AlternateContent>
      </w:r>
    </w:p>
    <w:p w14:paraId="55A1959D" w14:textId="0F83DFF1" w:rsidR="00274B32" w:rsidRDefault="00274B32">
      <w:pPr>
        <w:rPr>
          <w:rFonts w:asciiTheme="majorHAnsi" w:hAnsiTheme="majorHAnsi"/>
        </w:rPr>
      </w:pPr>
    </w:p>
    <w:p w14:paraId="32F59CD9" w14:textId="37361095" w:rsidR="00274B32" w:rsidRDefault="00274B32">
      <w:pPr>
        <w:rPr>
          <w:rFonts w:asciiTheme="majorHAnsi" w:hAnsiTheme="majorHAnsi"/>
        </w:rPr>
      </w:pPr>
    </w:p>
    <w:p w14:paraId="138F117E" w14:textId="0BDC6DE4" w:rsidR="00274B32" w:rsidRDefault="00274B32">
      <w:pPr>
        <w:rPr>
          <w:rFonts w:asciiTheme="majorHAnsi" w:hAnsiTheme="majorHAnsi"/>
        </w:rPr>
      </w:pPr>
    </w:p>
    <w:p w14:paraId="729ECE63" w14:textId="77777777" w:rsidR="00274B32" w:rsidRDefault="00274B32">
      <w:pPr>
        <w:rPr>
          <w:rFonts w:asciiTheme="majorHAnsi" w:hAnsiTheme="majorHAnsi"/>
        </w:rPr>
      </w:pPr>
    </w:p>
    <w:p w14:paraId="4C13C7B3" w14:textId="1AF85CB2" w:rsidR="00E24EAF" w:rsidRPr="004C42CF" w:rsidRDefault="00F931B7" w:rsidP="005076E9">
      <w:pPr>
        <w:spacing w:after="120"/>
        <w:jc w:val="both"/>
        <w:rPr>
          <w:rFonts w:asciiTheme="majorHAnsi" w:hAnsiTheme="majorHAnsi"/>
        </w:rPr>
      </w:pPr>
      <w:r w:rsidRPr="00D32176">
        <w:rPr>
          <w:noProof/>
          <w:sz w:val="32"/>
          <w:szCs w:val="32"/>
          <w:lang w:val="en-US"/>
        </w:rPr>
        <mc:AlternateContent>
          <mc:Choice Requires="wps">
            <w:drawing>
              <wp:anchor distT="0" distB="0" distL="114300" distR="114300" simplePos="0" relativeHeight="251662336" behindDoc="0" locked="0" layoutInCell="1" allowOverlap="1" wp14:anchorId="2E1A37B7" wp14:editId="4508D5CE">
                <wp:simplePos x="0" y="0"/>
                <wp:positionH relativeFrom="column">
                  <wp:posOffset>2400300</wp:posOffset>
                </wp:positionH>
                <wp:positionV relativeFrom="paragraph">
                  <wp:posOffset>378460</wp:posOffset>
                </wp:positionV>
                <wp:extent cx="4000500" cy="1421765"/>
                <wp:effectExtent l="0" t="0" r="0" b="635"/>
                <wp:wrapSquare wrapText="bothSides"/>
                <wp:docPr id="2" name="Text Box 2"/>
                <wp:cNvGraphicFramePr/>
                <a:graphic xmlns:a="http://schemas.openxmlformats.org/drawingml/2006/main">
                  <a:graphicData uri="http://schemas.microsoft.com/office/word/2010/wordprocessingShape">
                    <wps:wsp>
                      <wps:cNvSpPr txBox="1"/>
                      <wps:spPr>
                        <a:xfrm>
                          <a:off x="0" y="0"/>
                          <a:ext cx="4000500" cy="1421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76C215" w14:textId="77777777" w:rsidR="00977094" w:rsidRPr="00626707" w:rsidRDefault="00977094" w:rsidP="00EB4D28">
                            <w:pPr>
                              <w:rPr>
                                <w:rFonts w:asciiTheme="majorHAnsi" w:hAnsiTheme="majorHAnsi"/>
                                <w:sz w:val="18"/>
                                <w:szCs w:val="18"/>
                              </w:rPr>
                            </w:pPr>
                            <w:r w:rsidRPr="00626707">
                              <w:rPr>
                                <w:rFonts w:asciiTheme="majorHAnsi" w:hAnsiTheme="majorHAnsi"/>
                                <w:sz w:val="18"/>
                                <w:szCs w:val="18"/>
                              </w:rPr>
                              <w:t>Where:</w:t>
                            </w:r>
                          </w:p>
                          <w:p w14:paraId="0D00799F" w14:textId="77777777" w:rsidR="00977094" w:rsidRPr="00626707" w:rsidRDefault="00977094" w:rsidP="00EB4D28">
                            <w:pPr>
                              <w:pStyle w:val="ListParagraph"/>
                              <w:ind w:left="750" w:hanging="360"/>
                              <w:rPr>
                                <w:rFonts w:asciiTheme="majorHAnsi" w:hAnsiTheme="majorHAnsi"/>
                                <w:sz w:val="18"/>
                                <w:szCs w:val="18"/>
                              </w:rPr>
                            </w:pPr>
                            <w:proofErr w:type="gramStart"/>
                            <w:r w:rsidRPr="00626707">
                              <w:rPr>
                                <w:rFonts w:asciiTheme="majorHAnsi" w:hAnsiTheme="majorHAnsi"/>
                                <w:sz w:val="18"/>
                                <w:szCs w:val="18"/>
                              </w:rPr>
                              <w:t>n</w:t>
                            </w:r>
                            <w:proofErr w:type="gramEnd"/>
                            <w:r w:rsidRPr="00626707">
                              <w:rPr>
                                <w:rFonts w:asciiTheme="majorHAnsi" w:hAnsiTheme="majorHAnsi"/>
                                <w:sz w:val="18"/>
                                <w:szCs w:val="18"/>
                              </w:rPr>
                              <w:t xml:space="preserve">: </w:t>
                            </w:r>
                            <w:r>
                              <w:rPr>
                                <w:rFonts w:asciiTheme="majorHAnsi" w:hAnsiTheme="majorHAnsi"/>
                                <w:sz w:val="18"/>
                                <w:szCs w:val="18"/>
                              </w:rPr>
                              <w:t xml:space="preserve">  S</w:t>
                            </w:r>
                            <w:r w:rsidRPr="00626707">
                              <w:rPr>
                                <w:rFonts w:asciiTheme="majorHAnsi" w:hAnsiTheme="majorHAnsi"/>
                                <w:sz w:val="18"/>
                                <w:szCs w:val="18"/>
                              </w:rPr>
                              <w:t>ample size,</w:t>
                            </w:r>
                          </w:p>
                          <w:p w14:paraId="66468201" w14:textId="77777777" w:rsidR="00977094" w:rsidRPr="00626707" w:rsidRDefault="00977094" w:rsidP="00EB4D28">
                            <w:pPr>
                              <w:pStyle w:val="ListParagraph"/>
                              <w:ind w:left="750" w:hanging="360"/>
                              <w:rPr>
                                <w:rFonts w:asciiTheme="majorHAnsi" w:hAnsiTheme="majorHAnsi"/>
                                <w:sz w:val="18"/>
                                <w:szCs w:val="18"/>
                              </w:rPr>
                            </w:pPr>
                            <w:r w:rsidRPr="00626707">
                              <w:rPr>
                                <w:rFonts w:asciiTheme="majorHAnsi" w:hAnsiTheme="majorHAnsi"/>
                                <w:sz w:val="18"/>
                                <w:szCs w:val="18"/>
                              </w:rPr>
                              <w:t xml:space="preserve">Z: </w:t>
                            </w:r>
                            <w:r>
                              <w:rPr>
                                <w:rFonts w:asciiTheme="majorHAnsi" w:hAnsiTheme="majorHAnsi"/>
                                <w:sz w:val="18"/>
                                <w:szCs w:val="18"/>
                              </w:rPr>
                              <w:t xml:space="preserve">  V</w:t>
                            </w:r>
                            <w:r w:rsidRPr="00626707">
                              <w:rPr>
                                <w:rFonts w:asciiTheme="majorHAnsi" w:hAnsiTheme="majorHAnsi"/>
                                <w:sz w:val="18"/>
                                <w:szCs w:val="18"/>
                              </w:rPr>
                              <w:t xml:space="preserve">alue corresponding to a given confidence level </w:t>
                            </w:r>
                          </w:p>
                          <w:p w14:paraId="39F657E0" w14:textId="77777777" w:rsidR="00977094" w:rsidRPr="00626707" w:rsidRDefault="00977094" w:rsidP="00EB4D28">
                            <w:pPr>
                              <w:pStyle w:val="ListParagraph"/>
                              <w:ind w:left="750" w:hanging="360"/>
                              <w:rPr>
                                <w:rFonts w:asciiTheme="majorHAnsi" w:hAnsiTheme="majorHAnsi"/>
                                <w:sz w:val="18"/>
                                <w:szCs w:val="18"/>
                              </w:rPr>
                            </w:pPr>
                            <w:r w:rsidRPr="00626707">
                              <w:rPr>
                                <w:rFonts w:asciiTheme="majorHAnsi" w:hAnsiTheme="majorHAnsi"/>
                                <w:sz w:val="18"/>
                                <w:szCs w:val="18"/>
                              </w:rPr>
                              <w:t xml:space="preserve">    </w:t>
                            </w:r>
                            <w:r>
                              <w:rPr>
                                <w:rFonts w:asciiTheme="majorHAnsi" w:hAnsiTheme="majorHAnsi"/>
                                <w:sz w:val="18"/>
                                <w:szCs w:val="18"/>
                              </w:rPr>
                              <w:t xml:space="preserve">   </w:t>
                            </w:r>
                            <w:r w:rsidRPr="00626707">
                              <w:rPr>
                                <w:rFonts w:asciiTheme="majorHAnsi" w:hAnsiTheme="majorHAnsi"/>
                                <w:sz w:val="18"/>
                                <w:szCs w:val="18"/>
                              </w:rPr>
                              <w:t>(1.96 for a confidence level of 95%-value commonly used),</w:t>
                            </w:r>
                          </w:p>
                          <w:p w14:paraId="3A95FB5A" w14:textId="77777777" w:rsidR="00977094" w:rsidRPr="00626707" w:rsidRDefault="00977094" w:rsidP="00EB4D28">
                            <w:pPr>
                              <w:pStyle w:val="ListParagraph"/>
                              <w:ind w:left="750" w:hanging="360"/>
                              <w:rPr>
                                <w:rFonts w:asciiTheme="majorHAnsi" w:hAnsiTheme="majorHAnsi"/>
                                <w:sz w:val="18"/>
                                <w:szCs w:val="18"/>
                              </w:rPr>
                            </w:pPr>
                            <w:proofErr w:type="gramStart"/>
                            <w:r>
                              <w:rPr>
                                <w:rFonts w:asciiTheme="majorHAnsi" w:hAnsiTheme="majorHAnsi"/>
                                <w:sz w:val="18"/>
                                <w:szCs w:val="18"/>
                              </w:rPr>
                              <w:t>p</w:t>
                            </w:r>
                            <w:proofErr w:type="gramEnd"/>
                            <w:r>
                              <w:rPr>
                                <w:rFonts w:asciiTheme="majorHAnsi" w:hAnsiTheme="majorHAnsi"/>
                                <w:sz w:val="18"/>
                                <w:szCs w:val="18"/>
                              </w:rPr>
                              <w:t>:   P</w:t>
                            </w:r>
                            <w:r w:rsidRPr="00626707">
                              <w:rPr>
                                <w:rFonts w:asciiTheme="majorHAnsi" w:hAnsiTheme="majorHAnsi"/>
                                <w:sz w:val="18"/>
                                <w:szCs w:val="18"/>
                              </w:rPr>
                              <w:t xml:space="preserve">ercentage of the primary indicator, expressed as a decimal </w:t>
                            </w:r>
                          </w:p>
                          <w:p w14:paraId="26D87068" w14:textId="77777777" w:rsidR="00977094" w:rsidRPr="00626707" w:rsidRDefault="00977094" w:rsidP="00EB4D28">
                            <w:pPr>
                              <w:pStyle w:val="ListParagraph"/>
                              <w:ind w:left="750" w:hanging="360"/>
                              <w:rPr>
                                <w:rFonts w:asciiTheme="majorHAnsi" w:hAnsiTheme="majorHAnsi"/>
                                <w:sz w:val="18"/>
                                <w:szCs w:val="18"/>
                              </w:rPr>
                            </w:pPr>
                            <w:proofErr w:type="gramStart"/>
                            <w:r w:rsidRPr="00626707">
                              <w:rPr>
                                <w:rFonts w:asciiTheme="majorHAnsi" w:hAnsiTheme="majorHAnsi"/>
                                <w:sz w:val="18"/>
                                <w:szCs w:val="18"/>
                              </w:rPr>
                              <w:t>c</w:t>
                            </w:r>
                            <w:proofErr w:type="gramEnd"/>
                            <w:r w:rsidRPr="00626707">
                              <w:rPr>
                                <w:rFonts w:asciiTheme="majorHAnsi" w:hAnsiTheme="majorHAnsi"/>
                                <w:sz w:val="18"/>
                                <w:szCs w:val="18"/>
                              </w:rPr>
                              <w:t xml:space="preserve">: </w:t>
                            </w:r>
                            <w:r>
                              <w:rPr>
                                <w:rFonts w:asciiTheme="majorHAnsi" w:hAnsiTheme="majorHAnsi"/>
                                <w:sz w:val="18"/>
                                <w:szCs w:val="18"/>
                              </w:rPr>
                              <w:t xml:space="preserve">  S</w:t>
                            </w:r>
                            <w:r w:rsidRPr="00626707">
                              <w:rPr>
                                <w:rFonts w:asciiTheme="majorHAnsi" w:hAnsiTheme="majorHAnsi"/>
                                <w:sz w:val="18"/>
                                <w:szCs w:val="18"/>
                              </w:rPr>
                              <w:t>elected precision, expressed as a decimal (0.05),</w:t>
                            </w:r>
                          </w:p>
                          <w:p w14:paraId="585D0EE9" w14:textId="77777777" w:rsidR="00977094" w:rsidRPr="00626707" w:rsidRDefault="00977094" w:rsidP="00EB4D28">
                            <w:pPr>
                              <w:pStyle w:val="ListParagraph"/>
                              <w:ind w:hanging="330"/>
                              <w:jc w:val="left"/>
                              <w:rPr>
                                <w:rFonts w:asciiTheme="majorHAnsi" w:hAnsiTheme="majorHAnsi"/>
                                <w:sz w:val="18"/>
                                <w:szCs w:val="18"/>
                              </w:rPr>
                            </w:pPr>
                            <w:proofErr w:type="gramStart"/>
                            <w:r w:rsidRPr="00626707">
                              <w:rPr>
                                <w:rFonts w:asciiTheme="majorHAnsi" w:hAnsiTheme="majorHAnsi"/>
                                <w:sz w:val="18"/>
                                <w:szCs w:val="18"/>
                              </w:rPr>
                              <w:t>a</w:t>
                            </w:r>
                            <w:proofErr w:type="gramEnd"/>
                            <w:r w:rsidRPr="00626707">
                              <w:rPr>
                                <w:rFonts w:asciiTheme="majorHAnsi" w:hAnsiTheme="majorHAnsi"/>
                                <w:sz w:val="18"/>
                                <w:szCs w:val="18"/>
                              </w:rPr>
                              <w:t xml:space="preserve">: </w:t>
                            </w:r>
                            <w:r>
                              <w:rPr>
                                <w:rFonts w:asciiTheme="majorHAnsi" w:hAnsiTheme="majorHAnsi"/>
                                <w:sz w:val="18"/>
                                <w:szCs w:val="18"/>
                              </w:rPr>
                              <w:t xml:space="preserve">  F</w:t>
                            </w:r>
                            <w:r w:rsidRPr="00626707">
                              <w:rPr>
                                <w:rFonts w:asciiTheme="majorHAnsi" w:hAnsiTheme="majorHAnsi"/>
                                <w:sz w:val="18"/>
                                <w:szCs w:val="18"/>
                              </w:rPr>
                              <w:t xml:space="preserve">actor to take into account the rate of non responding interviewees and ensure the minimum number </w:t>
                            </w:r>
                          </w:p>
                          <w:p w14:paraId="0511E547" w14:textId="77777777" w:rsidR="00977094" w:rsidRDefault="00977094" w:rsidP="00EB4D28">
                            <w:pPr>
                              <w:ind w:left="720" w:hanging="3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189pt;margin-top:29.8pt;width:315pt;height:11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" filled="f" stroked="f">
                <v:textbox>
                  <w:txbxContent>
                    <w:p w14:paraId="5E76C215" w14:textId="77777777" w:rsidR="00977094" w:rsidRPr="00626707" w:rsidRDefault="00977094" w:rsidP="00EB4D28">
                      <w:pPr>
                        <w:rPr>
                          <w:rFonts w:asciiTheme="majorHAnsi" w:hAnsiTheme="majorHAnsi"/>
                          <w:sz w:val="18"/>
                          <w:szCs w:val="18"/>
                        </w:rPr>
                      </w:pPr>
                      <w:r w:rsidRPr="00626707">
                        <w:rPr>
                          <w:rFonts w:asciiTheme="majorHAnsi" w:hAnsiTheme="majorHAnsi"/>
                          <w:sz w:val="18"/>
                          <w:szCs w:val="18"/>
                        </w:rPr>
                        <w:t>Where:</w:t>
                      </w:r>
                    </w:p>
                    <w:p w14:paraId="0D00799F" w14:textId="77777777" w:rsidR="00977094" w:rsidRPr="00626707" w:rsidRDefault="00977094" w:rsidP="00EB4D28">
                      <w:pPr>
                        <w:pStyle w:val="ListParagraph"/>
                        <w:ind w:left="750" w:hanging="360"/>
                        <w:rPr>
                          <w:rFonts w:asciiTheme="majorHAnsi" w:hAnsiTheme="majorHAnsi"/>
                          <w:sz w:val="18"/>
                          <w:szCs w:val="18"/>
                        </w:rPr>
                      </w:pPr>
                      <w:proofErr w:type="gramStart"/>
                      <w:r w:rsidRPr="00626707">
                        <w:rPr>
                          <w:rFonts w:asciiTheme="majorHAnsi" w:hAnsiTheme="majorHAnsi"/>
                          <w:sz w:val="18"/>
                          <w:szCs w:val="18"/>
                        </w:rPr>
                        <w:t>n</w:t>
                      </w:r>
                      <w:proofErr w:type="gramEnd"/>
                      <w:r w:rsidRPr="00626707">
                        <w:rPr>
                          <w:rFonts w:asciiTheme="majorHAnsi" w:hAnsiTheme="majorHAnsi"/>
                          <w:sz w:val="18"/>
                          <w:szCs w:val="18"/>
                        </w:rPr>
                        <w:t xml:space="preserve">: </w:t>
                      </w:r>
                      <w:r>
                        <w:rPr>
                          <w:rFonts w:asciiTheme="majorHAnsi" w:hAnsiTheme="majorHAnsi"/>
                          <w:sz w:val="18"/>
                          <w:szCs w:val="18"/>
                        </w:rPr>
                        <w:t xml:space="preserve">  S</w:t>
                      </w:r>
                      <w:r w:rsidRPr="00626707">
                        <w:rPr>
                          <w:rFonts w:asciiTheme="majorHAnsi" w:hAnsiTheme="majorHAnsi"/>
                          <w:sz w:val="18"/>
                          <w:szCs w:val="18"/>
                        </w:rPr>
                        <w:t>ample size,</w:t>
                      </w:r>
                    </w:p>
                    <w:p w14:paraId="66468201" w14:textId="77777777" w:rsidR="00977094" w:rsidRPr="00626707" w:rsidRDefault="00977094" w:rsidP="00EB4D28">
                      <w:pPr>
                        <w:pStyle w:val="ListParagraph"/>
                        <w:ind w:left="750" w:hanging="360"/>
                        <w:rPr>
                          <w:rFonts w:asciiTheme="majorHAnsi" w:hAnsiTheme="majorHAnsi"/>
                          <w:sz w:val="18"/>
                          <w:szCs w:val="18"/>
                        </w:rPr>
                      </w:pPr>
                      <w:r w:rsidRPr="00626707">
                        <w:rPr>
                          <w:rFonts w:asciiTheme="majorHAnsi" w:hAnsiTheme="majorHAnsi"/>
                          <w:sz w:val="18"/>
                          <w:szCs w:val="18"/>
                        </w:rPr>
                        <w:t xml:space="preserve">Z: </w:t>
                      </w:r>
                      <w:r>
                        <w:rPr>
                          <w:rFonts w:asciiTheme="majorHAnsi" w:hAnsiTheme="majorHAnsi"/>
                          <w:sz w:val="18"/>
                          <w:szCs w:val="18"/>
                        </w:rPr>
                        <w:t xml:space="preserve">  V</w:t>
                      </w:r>
                      <w:r w:rsidRPr="00626707">
                        <w:rPr>
                          <w:rFonts w:asciiTheme="majorHAnsi" w:hAnsiTheme="majorHAnsi"/>
                          <w:sz w:val="18"/>
                          <w:szCs w:val="18"/>
                        </w:rPr>
                        <w:t xml:space="preserve">alue corresponding to a given confidence level </w:t>
                      </w:r>
                    </w:p>
                    <w:p w14:paraId="39F657E0" w14:textId="77777777" w:rsidR="00977094" w:rsidRPr="00626707" w:rsidRDefault="00977094" w:rsidP="00EB4D28">
                      <w:pPr>
                        <w:pStyle w:val="ListParagraph"/>
                        <w:ind w:left="750" w:hanging="360"/>
                        <w:rPr>
                          <w:rFonts w:asciiTheme="majorHAnsi" w:hAnsiTheme="majorHAnsi"/>
                          <w:sz w:val="18"/>
                          <w:szCs w:val="18"/>
                        </w:rPr>
                      </w:pPr>
                      <w:r w:rsidRPr="00626707">
                        <w:rPr>
                          <w:rFonts w:asciiTheme="majorHAnsi" w:hAnsiTheme="majorHAnsi"/>
                          <w:sz w:val="18"/>
                          <w:szCs w:val="18"/>
                        </w:rPr>
                        <w:t xml:space="preserve">    </w:t>
                      </w:r>
                      <w:r>
                        <w:rPr>
                          <w:rFonts w:asciiTheme="majorHAnsi" w:hAnsiTheme="majorHAnsi"/>
                          <w:sz w:val="18"/>
                          <w:szCs w:val="18"/>
                        </w:rPr>
                        <w:t xml:space="preserve">   </w:t>
                      </w:r>
                      <w:r w:rsidRPr="00626707">
                        <w:rPr>
                          <w:rFonts w:asciiTheme="majorHAnsi" w:hAnsiTheme="majorHAnsi"/>
                          <w:sz w:val="18"/>
                          <w:szCs w:val="18"/>
                        </w:rPr>
                        <w:t>(1.96 for a confidence level of 95%-value commonly used),</w:t>
                      </w:r>
                    </w:p>
                    <w:p w14:paraId="3A95FB5A" w14:textId="77777777" w:rsidR="00977094" w:rsidRPr="00626707" w:rsidRDefault="00977094" w:rsidP="00EB4D28">
                      <w:pPr>
                        <w:pStyle w:val="ListParagraph"/>
                        <w:ind w:left="750" w:hanging="360"/>
                        <w:rPr>
                          <w:rFonts w:asciiTheme="majorHAnsi" w:hAnsiTheme="majorHAnsi"/>
                          <w:sz w:val="18"/>
                          <w:szCs w:val="18"/>
                        </w:rPr>
                      </w:pPr>
                      <w:proofErr w:type="gramStart"/>
                      <w:r>
                        <w:rPr>
                          <w:rFonts w:asciiTheme="majorHAnsi" w:hAnsiTheme="majorHAnsi"/>
                          <w:sz w:val="18"/>
                          <w:szCs w:val="18"/>
                        </w:rPr>
                        <w:t>p</w:t>
                      </w:r>
                      <w:proofErr w:type="gramEnd"/>
                      <w:r>
                        <w:rPr>
                          <w:rFonts w:asciiTheme="majorHAnsi" w:hAnsiTheme="majorHAnsi"/>
                          <w:sz w:val="18"/>
                          <w:szCs w:val="18"/>
                        </w:rPr>
                        <w:t>:   P</w:t>
                      </w:r>
                      <w:r w:rsidRPr="00626707">
                        <w:rPr>
                          <w:rFonts w:asciiTheme="majorHAnsi" w:hAnsiTheme="majorHAnsi"/>
                          <w:sz w:val="18"/>
                          <w:szCs w:val="18"/>
                        </w:rPr>
                        <w:t xml:space="preserve">ercentage of the primary indicator, expressed as a decimal </w:t>
                      </w:r>
                    </w:p>
                    <w:p w14:paraId="26D87068" w14:textId="77777777" w:rsidR="00977094" w:rsidRPr="00626707" w:rsidRDefault="00977094" w:rsidP="00EB4D28">
                      <w:pPr>
                        <w:pStyle w:val="ListParagraph"/>
                        <w:ind w:left="750" w:hanging="360"/>
                        <w:rPr>
                          <w:rFonts w:asciiTheme="majorHAnsi" w:hAnsiTheme="majorHAnsi"/>
                          <w:sz w:val="18"/>
                          <w:szCs w:val="18"/>
                        </w:rPr>
                      </w:pPr>
                      <w:proofErr w:type="gramStart"/>
                      <w:r w:rsidRPr="00626707">
                        <w:rPr>
                          <w:rFonts w:asciiTheme="majorHAnsi" w:hAnsiTheme="majorHAnsi"/>
                          <w:sz w:val="18"/>
                          <w:szCs w:val="18"/>
                        </w:rPr>
                        <w:t>c</w:t>
                      </w:r>
                      <w:proofErr w:type="gramEnd"/>
                      <w:r w:rsidRPr="00626707">
                        <w:rPr>
                          <w:rFonts w:asciiTheme="majorHAnsi" w:hAnsiTheme="majorHAnsi"/>
                          <w:sz w:val="18"/>
                          <w:szCs w:val="18"/>
                        </w:rPr>
                        <w:t xml:space="preserve">: </w:t>
                      </w:r>
                      <w:r>
                        <w:rPr>
                          <w:rFonts w:asciiTheme="majorHAnsi" w:hAnsiTheme="majorHAnsi"/>
                          <w:sz w:val="18"/>
                          <w:szCs w:val="18"/>
                        </w:rPr>
                        <w:t xml:space="preserve">  S</w:t>
                      </w:r>
                      <w:r w:rsidRPr="00626707">
                        <w:rPr>
                          <w:rFonts w:asciiTheme="majorHAnsi" w:hAnsiTheme="majorHAnsi"/>
                          <w:sz w:val="18"/>
                          <w:szCs w:val="18"/>
                        </w:rPr>
                        <w:t>elected precision, expressed as a decimal (0.05),</w:t>
                      </w:r>
                    </w:p>
                    <w:p w14:paraId="585D0EE9" w14:textId="77777777" w:rsidR="00977094" w:rsidRPr="00626707" w:rsidRDefault="00977094" w:rsidP="00EB4D28">
                      <w:pPr>
                        <w:pStyle w:val="ListParagraph"/>
                        <w:ind w:hanging="330"/>
                        <w:jc w:val="left"/>
                        <w:rPr>
                          <w:rFonts w:asciiTheme="majorHAnsi" w:hAnsiTheme="majorHAnsi"/>
                          <w:sz w:val="18"/>
                          <w:szCs w:val="18"/>
                        </w:rPr>
                      </w:pPr>
                      <w:proofErr w:type="gramStart"/>
                      <w:r w:rsidRPr="00626707">
                        <w:rPr>
                          <w:rFonts w:asciiTheme="majorHAnsi" w:hAnsiTheme="majorHAnsi"/>
                          <w:sz w:val="18"/>
                          <w:szCs w:val="18"/>
                        </w:rPr>
                        <w:t>a</w:t>
                      </w:r>
                      <w:proofErr w:type="gramEnd"/>
                      <w:r w:rsidRPr="00626707">
                        <w:rPr>
                          <w:rFonts w:asciiTheme="majorHAnsi" w:hAnsiTheme="majorHAnsi"/>
                          <w:sz w:val="18"/>
                          <w:szCs w:val="18"/>
                        </w:rPr>
                        <w:t xml:space="preserve">: </w:t>
                      </w:r>
                      <w:r>
                        <w:rPr>
                          <w:rFonts w:asciiTheme="majorHAnsi" w:hAnsiTheme="majorHAnsi"/>
                          <w:sz w:val="18"/>
                          <w:szCs w:val="18"/>
                        </w:rPr>
                        <w:t xml:space="preserve">  F</w:t>
                      </w:r>
                      <w:r w:rsidRPr="00626707">
                        <w:rPr>
                          <w:rFonts w:asciiTheme="majorHAnsi" w:hAnsiTheme="majorHAnsi"/>
                          <w:sz w:val="18"/>
                          <w:szCs w:val="18"/>
                        </w:rPr>
                        <w:t xml:space="preserve">actor to take into account the rate of non responding interviewees and ensure the minimum number </w:t>
                      </w:r>
                    </w:p>
                    <w:p w14:paraId="0511E547" w14:textId="77777777" w:rsidR="00977094" w:rsidRDefault="00977094" w:rsidP="00EB4D28">
                      <w:pPr>
                        <w:ind w:left="720" w:hanging="330"/>
                      </w:pPr>
                    </w:p>
                  </w:txbxContent>
                </v:textbox>
                <w10:wrap type="square"/>
              </v:shape>
            </w:pict>
          </mc:Fallback>
        </mc:AlternateContent>
      </w:r>
      <w:r w:rsidR="00EB4D28" w:rsidRPr="004C42CF">
        <w:rPr>
          <w:rFonts w:asciiTheme="majorHAnsi" w:hAnsiTheme="majorHAnsi"/>
        </w:rPr>
        <w:t xml:space="preserve">In accordance with the methodology used for the baseline KAP survey (March 2014), the formula </w:t>
      </w:r>
      <w:r w:rsidR="005076E9" w:rsidRPr="004C42CF">
        <w:rPr>
          <w:rFonts w:asciiTheme="majorHAnsi" w:hAnsiTheme="majorHAnsi"/>
        </w:rPr>
        <w:t xml:space="preserve">presented below, </w:t>
      </w:r>
      <w:r w:rsidR="00EB4D28" w:rsidRPr="004C42CF">
        <w:rPr>
          <w:rFonts w:asciiTheme="majorHAnsi" w:hAnsiTheme="majorHAnsi"/>
        </w:rPr>
        <w:t>identif</w:t>
      </w:r>
      <w:r w:rsidR="005076E9" w:rsidRPr="004C42CF">
        <w:rPr>
          <w:rFonts w:asciiTheme="majorHAnsi" w:hAnsiTheme="majorHAnsi"/>
        </w:rPr>
        <w:t>ied</w:t>
      </w:r>
      <w:r w:rsidR="00EB4D28" w:rsidRPr="004C42CF">
        <w:rPr>
          <w:rFonts w:asciiTheme="majorHAnsi" w:hAnsiTheme="majorHAnsi"/>
        </w:rPr>
        <w:t xml:space="preserve"> the need </w:t>
      </w:r>
      <w:r w:rsidR="005076E9" w:rsidRPr="004C42CF">
        <w:rPr>
          <w:rFonts w:asciiTheme="majorHAnsi" w:hAnsiTheme="majorHAnsi"/>
        </w:rPr>
        <w:t xml:space="preserve">to conduct </w:t>
      </w:r>
      <w:r w:rsidR="00EB4D28" w:rsidRPr="004C42CF">
        <w:rPr>
          <w:rFonts w:asciiTheme="majorHAnsi" w:hAnsiTheme="majorHAnsi"/>
        </w:rPr>
        <w:t xml:space="preserve">428 </w:t>
      </w:r>
      <w:r w:rsidR="005076E9" w:rsidRPr="004C42CF">
        <w:rPr>
          <w:rFonts w:asciiTheme="majorHAnsi" w:hAnsiTheme="majorHAnsi"/>
        </w:rPr>
        <w:t xml:space="preserve">household interviews </w:t>
      </w:r>
      <w:r w:rsidR="00993F34" w:rsidRPr="004C42CF">
        <w:rPr>
          <w:rFonts w:asciiTheme="majorHAnsi" w:hAnsiTheme="majorHAnsi"/>
        </w:rPr>
        <w:t xml:space="preserve">to </w:t>
      </w:r>
      <w:r w:rsidR="00EB4D28" w:rsidRPr="004C42CF">
        <w:rPr>
          <w:rFonts w:asciiTheme="majorHAnsi" w:hAnsiTheme="majorHAnsi"/>
        </w:rPr>
        <w:t>ensur</w:t>
      </w:r>
      <w:r w:rsidR="00993F34" w:rsidRPr="004C42CF">
        <w:rPr>
          <w:rFonts w:asciiTheme="majorHAnsi" w:hAnsiTheme="majorHAnsi"/>
        </w:rPr>
        <w:t>e</w:t>
      </w:r>
      <w:r w:rsidR="00EB4D28" w:rsidRPr="004C42CF">
        <w:rPr>
          <w:rFonts w:asciiTheme="majorHAnsi" w:hAnsiTheme="majorHAnsi"/>
        </w:rPr>
        <w:t xml:space="preserve"> a 95% confidence interval</w:t>
      </w:r>
      <w:r w:rsidR="00EF4772" w:rsidRPr="004C42CF">
        <w:rPr>
          <w:rFonts w:asciiTheme="majorHAnsi" w:hAnsiTheme="majorHAnsi"/>
        </w:rPr>
        <w:t xml:space="preserve">. </w:t>
      </w:r>
    </w:p>
    <w:p w14:paraId="2DE0EEBA" w14:textId="1CF26AD0" w:rsidR="00EB4D28" w:rsidRPr="00E24EAF" w:rsidRDefault="00EB4D28" w:rsidP="00EB4D28">
      <w:pPr>
        <w:jc w:val="both"/>
        <w:rPr>
          <w:rFonts w:asciiTheme="majorHAnsi" w:hAnsiTheme="majorHAnsi"/>
          <w:sz w:val="22"/>
          <w:szCs w:val="22"/>
        </w:rPr>
      </w:pPr>
      <w:r w:rsidRPr="00E24EAF">
        <w:rPr>
          <w:rFonts w:asciiTheme="majorHAnsi" w:hAnsiTheme="majorHAnsi"/>
          <w:sz w:val="22"/>
          <w:szCs w:val="22"/>
        </w:rPr>
        <w:t xml:space="preserve"> </w:t>
      </w:r>
    </w:p>
    <w:p w14:paraId="29332F7C" w14:textId="0916EC0B" w:rsidR="00EB4D28" w:rsidRPr="00D32176" w:rsidRDefault="00F931B7" w:rsidP="00EB4D28">
      <w:pPr>
        <w:rPr>
          <w:sz w:val="32"/>
          <w:szCs w:val="32"/>
        </w:rPr>
      </w:pPr>
      <m:oMathPara>
        <m:oMath>
          <m:r>
            <w:rPr>
              <w:rFonts w:ascii="Cambria Math" w:hAnsi="Cambria Math"/>
              <w:sz w:val="32"/>
              <w:szCs w:val="32"/>
            </w:rPr>
            <m:t>n</m:t>
          </m:r>
          <m:r>
            <m:rPr>
              <m:sty m:val="p"/>
            </m:rPr>
            <w:rPr>
              <w:rFonts w:ascii="Cambria Math" w:hAnsi="Cambria Math"/>
              <w:sz w:val="32"/>
              <w:szCs w:val="32"/>
            </w:rPr>
            <m:t>=</m:t>
          </m:r>
          <m:f>
            <m:fPr>
              <m:ctrlPr>
                <w:rPr>
                  <w:rFonts w:ascii="Cambria Math" w:hAnsi="Cambria Math"/>
                  <w:sz w:val="32"/>
                  <w:szCs w:val="32"/>
                </w:rPr>
              </m:ctrlPr>
            </m:fPr>
            <m:num>
              <m:sSup>
                <m:sSupPr>
                  <m:ctrlPr>
                    <w:rPr>
                      <w:rFonts w:ascii="Cambria Math" w:hAnsi="Cambria Math"/>
                      <w:sz w:val="32"/>
                      <w:szCs w:val="32"/>
                    </w:rPr>
                  </m:ctrlPr>
                </m:sSupPr>
                <m:e>
                  <m:r>
                    <w:rPr>
                      <w:rFonts w:ascii="Cambria Math" w:hAnsi="Cambria Math"/>
                      <w:sz w:val="32"/>
                      <w:szCs w:val="32"/>
                    </w:rPr>
                    <m:t>Z</m:t>
                  </m:r>
                </m:e>
                <m:sup>
                  <m:r>
                    <m:rPr>
                      <m:sty m:val="p"/>
                    </m:rPr>
                    <w:rPr>
                      <w:rFonts w:ascii="Cambria Math" w:hAnsi="Cambria Math"/>
                      <w:sz w:val="32"/>
                      <w:szCs w:val="32"/>
                    </w:rPr>
                    <m:t>2</m:t>
                  </m:r>
                </m:sup>
              </m:sSup>
              <m:r>
                <w:rPr>
                  <w:rFonts w:ascii="Cambria Math" w:hAnsi="Cambria Math"/>
                  <w:sz w:val="32"/>
                  <w:szCs w:val="32"/>
                </w:rPr>
                <m:t>p</m:t>
              </m:r>
              <m:r>
                <m:rPr>
                  <m:sty m:val="p"/>
                </m:rPr>
                <w:rPr>
                  <w:rFonts w:ascii="Cambria Math" w:hAnsi="Cambria Math"/>
                  <w:sz w:val="32"/>
                  <w:szCs w:val="32"/>
                </w:rPr>
                <m:t>(1-</m:t>
              </m:r>
              <m:r>
                <w:rPr>
                  <w:rFonts w:ascii="Cambria Math" w:hAnsi="Cambria Math"/>
                  <w:sz w:val="32"/>
                  <w:szCs w:val="32"/>
                </w:rPr>
                <m:t>p</m:t>
              </m:r>
              <m:r>
                <m:rPr>
                  <m:sty m:val="p"/>
                </m:rPr>
                <w:rPr>
                  <w:rFonts w:ascii="Cambria Math" w:hAnsi="Cambria Math"/>
                  <w:sz w:val="32"/>
                  <w:szCs w:val="32"/>
                </w:rPr>
                <m:t>)</m:t>
              </m:r>
            </m:num>
            <m:den>
              <m:sSup>
                <m:sSupPr>
                  <m:ctrlPr>
                    <w:rPr>
                      <w:rFonts w:ascii="Cambria Math" w:hAnsi="Cambria Math"/>
                      <w:sz w:val="32"/>
                      <w:szCs w:val="32"/>
                    </w:rPr>
                  </m:ctrlPr>
                </m:sSupPr>
                <m:e>
                  <m:r>
                    <w:rPr>
                      <w:rFonts w:ascii="Cambria Math" w:hAnsi="Cambria Math"/>
                      <w:sz w:val="32"/>
                      <w:szCs w:val="32"/>
                    </w:rPr>
                    <m:t>c</m:t>
                  </m:r>
                </m:e>
                <m:sup>
                  <m:r>
                    <m:rPr>
                      <m:sty m:val="p"/>
                    </m:rPr>
                    <w:rPr>
                      <w:rFonts w:ascii="Cambria Math" w:hAnsi="Cambria Math"/>
                      <w:sz w:val="32"/>
                      <w:szCs w:val="32"/>
                    </w:rPr>
                    <m:t>2</m:t>
                  </m:r>
                </m:sup>
              </m:sSup>
              <m:r>
                <w:rPr>
                  <w:rFonts w:ascii="Cambria Math" w:hAnsi="Cambria Math"/>
                  <w:sz w:val="32"/>
                  <w:szCs w:val="32"/>
                </w:rPr>
                <m:t>a</m:t>
              </m:r>
            </m:den>
          </m:f>
        </m:oMath>
      </m:oMathPara>
    </w:p>
    <w:p w14:paraId="2BB180B0" w14:textId="70F1D8CC" w:rsidR="00EB4D28" w:rsidRDefault="00EB4D28" w:rsidP="00EB4D28"/>
    <w:p w14:paraId="53A2B534" w14:textId="77777777" w:rsidR="00EB4D28" w:rsidRDefault="00EB4D28" w:rsidP="00EB4D28"/>
    <w:p w14:paraId="5B32A87A" w14:textId="153D46F4" w:rsidR="00993F34" w:rsidRPr="004C42CF" w:rsidRDefault="002631A7" w:rsidP="005076E9">
      <w:pPr>
        <w:spacing w:after="120"/>
        <w:jc w:val="both"/>
        <w:rPr>
          <w:rFonts w:asciiTheme="majorHAnsi" w:hAnsiTheme="majorHAnsi"/>
        </w:rPr>
      </w:pPr>
      <w:r w:rsidRPr="004C42CF">
        <w:rPr>
          <w:rFonts w:asciiTheme="majorHAnsi" w:hAnsiTheme="majorHAnsi"/>
        </w:rPr>
        <w:t xml:space="preserve">To ensure </w:t>
      </w:r>
      <w:r w:rsidR="00993F34" w:rsidRPr="004C42CF">
        <w:rPr>
          <w:rFonts w:asciiTheme="majorHAnsi" w:hAnsiTheme="majorHAnsi"/>
        </w:rPr>
        <w:t xml:space="preserve">the sample was </w:t>
      </w:r>
      <w:r w:rsidRPr="004C42CF">
        <w:rPr>
          <w:rFonts w:asciiTheme="majorHAnsi" w:hAnsiTheme="majorHAnsi"/>
        </w:rPr>
        <w:t xml:space="preserve">representative, </w:t>
      </w:r>
      <w:r w:rsidR="006A37FE" w:rsidRPr="004C42CF">
        <w:rPr>
          <w:rFonts w:asciiTheme="majorHAnsi" w:hAnsiTheme="majorHAnsi"/>
        </w:rPr>
        <w:t xml:space="preserve">beneficiary households were stratified </w:t>
      </w:r>
      <w:r w:rsidR="00993F34" w:rsidRPr="004C42CF">
        <w:rPr>
          <w:rFonts w:asciiTheme="majorHAnsi" w:hAnsiTheme="majorHAnsi"/>
        </w:rPr>
        <w:t>by type of location, ethnicity of respondent and</w:t>
      </w:r>
      <w:r w:rsidRPr="004C42CF">
        <w:rPr>
          <w:rFonts w:asciiTheme="majorHAnsi" w:hAnsiTheme="majorHAnsi"/>
        </w:rPr>
        <w:t xml:space="preserve"> the</w:t>
      </w:r>
      <w:r w:rsidR="00993F34" w:rsidRPr="004C42CF">
        <w:rPr>
          <w:rFonts w:asciiTheme="majorHAnsi" w:hAnsiTheme="majorHAnsi"/>
        </w:rPr>
        <w:t xml:space="preserve"> WASH Focal Point Agency (DfID partner). For sampling in villages, each household was assigned a number, a random number generator used to identify the starting point for sampling and an interval of 52 households used to select the number of surveys to be conducted in each location. Of the 428 KAP surveys, 245 were conducted in 11 IDP camps (57%), 152 surveys in 8 villages near to IDP camps (36%) and 31 surveys in 7 villages in remote areas (7%). </w:t>
      </w:r>
      <w:r w:rsidR="006A37FE" w:rsidRPr="004C42CF">
        <w:rPr>
          <w:rFonts w:asciiTheme="majorHAnsi" w:hAnsiTheme="majorHAnsi"/>
        </w:rPr>
        <w:t>The process was repeated in IDP camps using temporary 8-unit shelter numbers and then randomly selecting the household.</w:t>
      </w:r>
    </w:p>
    <w:p w14:paraId="25FA692C" w14:textId="5FA3609F" w:rsidR="00352F05" w:rsidRPr="004C42CF" w:rsidRDefault="00352F05" w:rsidP="005076E9">
      <w:pPr>
        <w:spacing w:after="120"/>
        <w:jc w:val="both"/>
        <w:rPr>
          <w:rFonts w:asciiTheme="majorHAnsi" w:hAnsiTheme="majorHAnsi"/>
        </w:rPr>
      </w:pPr>
      <w:r w:rsidRPr="004C42CF">
        <w:rPr>
          <w:noProof/>
          <w:lang w:val="en-US"/>
        </w:rPr>
        <w:drawing>
          <wp:anchor distT="0" distB="0" distL="114300" distR="114300" simplePos="0" relativeHeight="251681792" behindDoc="0" locked="0" layoutInCell="1" allowOverlap="1" wp14:anchorId="1638923E" wp14:editId="19BEAF19">
            <wp:simplePos x="0" y="0"/>
            <wp:positionH relativeFrom="column">
              <wp:posOffset>3314700</wp:posOffset>
            </wp:positionH>
            <wp:positionV relativeFrom="paragraph">
              <wp:posOffset>360680</wp:posOffset>
            </wp:positionV>
            <wp:extent cx="3086100" cy="2171700"/>
            <wp:effectExtent l="0" t="0" r="0" b="0"/>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993F34" w:rsidRPr="004C42CF">
        <w:rPr>
          <w:rFonts w:asciiTheme="majorHAnsi" w:hAnsiTheme="majorHAnsi"/>
        </w:rPr>
        <w:t xml:space="preserve">The table </w:t>
      </w:r>
      <w:r w:rsidR="006A37FE" w:rsidRPr="004C42CF">
        <w:rPr>
          <w:rFonts w:asciiTheme="majorHAnsi" w:hAnsiTheme="majorHAnsi"/>
        </w:rPr>
        <w:t xml:space="preserve">and figures </w:t>
      </w:r>
      <w:r w:rsidR="00993F34" w:rsidRPr="004C42CF">
        <w:rPr>
          <w:rFonts w:asciiTheme="majorHAnsi" w:hAnsiTheme="majorHAnsi"/>
        </w:rPr>
        <w:t xml:space="preserve">below </w:t>
      </w:r>
      <w:r w:rsidR="006A37FE" w:rsidRPr="004C42CF">
        <w:rPr>
          <w:rFonts w:asciiTheme="majorHAnsi" w:hAnsiTheme="majorHAnsi"/>
        </w:rPr>
        <w:t>present</w:t>
      </w:r>
      <w:r w:rsidR="00993F34" w:rsidRPr="004C42CF">
        <w:rPr>
          <w:rFonts w:asciiTheme="majorHAnsi" w:hAnsiTheme="majorHAnsi"/>
        </w:rPr>
        <w:t xml:space="preserve"> a summary of the</w:t>
      </w:r>
      <w:r w:rsidR="006A37FE" w:rsidRPr="004C42CF">
        <w:rPr>
          <w:rFonts w:asciiTheme="majorHAnsi" w:hAnsiTheme="majorHAnsi"/>
        </w:rPr>
        <w:t xml:space="preserve"> sampling by</w:t>
      </w:r>
      <w:r w:rsidR="00993F34" w:rsidRPr="004C42CF">
        <w:rPr>
          <w:rFonts w:asciiTheme="majorHAnsi" w:hAnsiTheme="majorHAnsi"/>
        </w:rPr>
        <w:t xml:space="preserve"> location type</w:t>
      </w:r>
      <w:r w:rsidR="00993F34" w:rsidRPr="004C42CF">
        <w:rPr>
          <w:rStyle w:val="FootnoteReference"/>
          <w:rFonts w:asciiTheme="majorHAnsi" w:hAnsiTheme="majorHAnsi"/>
        </w:rPr>
        <w:footnoteReference w:id="5"/>
      </w:r>
      <w:r w:rsidR="006A37FE" w:rsidRPr="004C42CF">
        <w:rPr>
          <w:rFonts w:asciiTheme="majorHAnsi" w:hAnsiTheme="majorHAnsi"/>
        </w:rPr>
        <w:t>, ethnicity of respondent and by implementing agency.</w:t>
      </w:r>
      <w:r w:rsidR="00993F34" w:rsidRPr="004C42CF">
        <w:rPr>
          <w:rFonts w:asciiTheme="majorHAnsi" w:hAnsiTheme="majorHAnsi"/>
        </w:rPr>
        <w:t xml:space="preserve"> A detailed breakdo</w:t>
      </w:r>
      <w:r w:rsidR="00B51044" w:rsidRPr="004C42CF">
        <w:rPr>
          <w:rFonts w:asciiTheme="majorHAnsi" w:hAnsiTheme="majorHAnsi"/>
        </w:rPr>
        <w:t>wn by location is presented in A</w:t>
      </w:r>
      <w:r w:rsidR="00993F34" w:rsidRPr="004C42CF">
        <w:rPr>
          <w:rFonts w:asciiTheme="majorHAnsi" w:hAnsiTheme="majorHAnsi"/>
        </w:rPr>
        <w:t xml:space="preserve">nnex </w:t>
      </w:r>
      <w:r w:rsidR="00B51044" w:rsidRPr="004C42CF">
        <w:rPr>
          <w:rFonts w:asciiTheme="majorHAnsi" w:hAnsiTheme="majorHAnsi"/>
        </w:rPr>
        <w:t>01</w:t>
      </w:r>
      <w:r w:rsidR="00993F34" w:rsidRPr="004C42CF">
        <w:rPr>
          <w:rFonts w:asciiTheme="majorHAnsi" w:hAnsiTheme="majorHAnsi"/>
        </w:rPr>
        <w:t>.</w:t>
      </w:r>
    </w:p>
    <w:p w14:paraId="575424F1" w14:textId="4348EC70" w:rsidR="001A1F69" w:rsidRDefault="00352F05" w:rsidP="00352F05">
      <w:pPr>
        <w:jc w:val="both"/>
        <w:rPr>
          <w:rFonts w:asciiTheme="majorHAnsi" w:hAnsiTheme="majorHAnsi"/>
          <w:sz w:val="22"/>
          <w:szCs w:val="22"/>
        </w:rPr>
      </w:pPr>
      <w:r>
        <w:rPr>
          <w:noProof/>
          <w:lang w:val="en-US"/>
        </w:rPr>
        <w:t xml:space="preserve"> </w:t>
      </w:r>
    </w:p>
    <w:p w14:paraId="4D619F6C" w14:textId="5E95D8AD" w:rsidR="00840D74" w:rsidRPr="000061EA" w:rsidRDefault="00840D74">
      <w:pPr>
        <w:rPr>
          <w:rFonts w:asciiTheme="majorHAnsi" w:hAnsiTheme="majorHAnsi"/>
          <w:sz w:val="22"/>
          <w:szCs w:val="22"/>
        </w:rPr>
      </w:pPr>
    </w:p>
    <w:tbl>
      <w:tblPr>
        <w:tblW w:w="6295" w:type="dxa"/>
        <w:tblInd w:w="108" w:type="dxa"/>
        <w:tblLayout w:type="fixed"/>
        <w:tblLook w:val="04A0" w:firstRow="1" w:lastRow="0" w:firstColumn="1" w:lastColumn="0" w:noHBand="0" w:noVBand="1"/>
      </w:tblPr>
      <w:tblGrid>
        <w:gridCol w:w="2016"/>
        <w:gridCol w:w="864"/>
        <w:gridCol w:w="900"/>
        <w:gridCol w:w="810"/>
        <w:gridCol w:w="900"/>
        <w:gridCol w:w="540"/>
        <w:gridCol w:w="265"/>
      </w:tblGrid>
      <w:tr w:rsidR="00B35FFA" w:rsidRPr="00D32176" w14:paraId="6594BFFC" w14:textId="77777777" w:rsidTr="00352F05">
        <w:trPr>
          <w:gridAfter w:val="1"/>
          <w:wAfter w:w="265" w:type="dxa"/>
          <w:trHeight w:val="404"/>
        </w:trPr>
        <w:tc>
          <w:tcPr>
            <w:tcW w:w="2016" w:type="dxa"/>
            <w:vMerge w:val="restart"/>
            <w:tcBorders>
              <w:top w:val="single" w:sz="4" w:space="0" w:color="auto"/>
              <w:left w:val="single" w:sz="4" w:space="0" w:color="auto"/>
              <w:right w:val="single" w:sz="4" w:space="0" w:color="auto"/>
            </w:tcBorders>
            <w:shd w:val="clear" w:color="auto" w:fill="CCCCCC"/>
            <w:noWrap/>
            <w:vAlign w:val="center"/>
          </w:tcPr>
          <w:p w14:paraId="04F497E8" w14:textId="3674530F" w:rsidR="00B35FFA" w:rsidRPr="00352F05" w:rsidRDefault="00B35FFA" w:rsidP="00D32176">
            <w:pPr>
              <w:jc w:val="center"/>
              <w:rPr>
                <w:rFonts w:asciiTheme="majorHAnsi" w:eastAsia="Times New Roman" w:hAnsiTheme="majorHAnsi" w:cs="Arial"/>
                <w:b/>
                <w:sz w:val="18"/>
                <w:szCs w:val="18"/>
              </w:rPr>
            </w:pPr>
            <w:r w:rsidRPr="00352F05">
              <w:rPr>
                <w:rFonts w:asciiTheme="majorHAnsi" w:eastAsia="Times New Roman" w:hAnsiTheme="majorHAnsi" w:cs="Arial"/>
                <w:b/>
                <w:sz w:val="18"/>
                <w:szCs w:val="18"/>
              </w:rPr>
              <w:t>Type of</w:t>
            </w:r>
          </w:p>
          <w:p w14:paraId="3ED7262C" w14:textId="05DA86BF" w:rsidR="00B35FFA" w:rsidRPr="00FB148D" w:rsidRDefault="00B35FFA" w:rsidP="00D32176">
            <w:pPr>
              <w:jc w:val="center"/>
              <w:rPr>
                <w:rFonts w:ascii="Arial Narrow" w:eastAsia="Times New Roman" w:hAnsi="Arial Narrow" w:cs="Arial"/>
                <w:b/>
                <w:sz w:val="18"/>
                <w:szCs w:val="18"/>
              </w:rPr>
            </w:pPr>
            <w:r w:rsidRPr="00352F05">
              <w:rPr>
                <w:rFonts w:asciiTheme="majorHAnsi" w:eastAsia="Times New Roman" w:hAnsiTheme="majorHAnsi" w:cs="Arial"/>
                <w:b/>
                <w:sz w:val="18"/>
                <w:szCs w:val="18"/>
              </w:rPr>
              <w:t>Location</w:t>
            </w:r>
          </w:p>
        </w:tc>
        <w:tc>
          <w:tcPr>
            <w:tcW w:w="2574" w:type="dxa"/>
            <w:gridSpan w:val="3"/>
            <w:tcBorders>
              <w:top w:val="single" w:sz="4" w:space="0" w:color="auto"/>
              <w:left w:val="nil"/>
              <w:bottom w:val="single" w:sz="4" w:space="0" w:color="auto"/>
              <w:right w:val="single" w:sz="4" w:space="0" w:color="auto"/>
            </w:tcBorders>
            <w:shd w:val="clear" w:color="auto" w:fill="CCCCCC"/>
            <w:noWrap/>
            <w:tcMar>
              <w:left w:w="14" w:type="dxa"/>
              <w:right w:w="14" w:type="dxa"/>
            </w:tcMar>
            <w:vAlign w:val="center"/>
          </w:tcPr>
          <w:p w14:paraId="61E25700" w14:textId="42A67BE3" w:rsidR="00B35FFA" w:rsidRPr="00FB148D" w:rsidRDefault="00B35FFA" w:rsidP="00D32176">
            <w:pPr>
              <w:jc w:val="center"/>
              <w:rPr>
                <w:rFonts w:ascii="Arial Narrow" w:eastAsia="Times New Roman" w:hAnsi="Arial Narrow" w:cs="Arial"/>
                <w:b/>
                <w:sz w:val="18"/>
                <w:szCs w:val="18"/>
              </w:rPr>
            </w:pPr>
            <w:r>
              <w:rPr>
                <w:rFonts w:ascii="Arial Narrow" w:eastAsia="Times New Roman" w:hAnsi="Arial Narrow" w:cs="Arial"/>
                <w:b/>
                <w:sz w:val="18"/>
                <w:szCs w:val="18"/>
              </w:rPr>
              <w:t>TARGET POPULATION</w:t>
            </w:r>
          </w:p>
        </w:tc>
        <w:tc>
          <w:tcPr>
            <w:tcW w:w="1440" w:type="dxa"/>
            <w:gridSpan w:val="2"/>
            <w:tcBorders>
              <w:top w:val="single" w:sz="4" w:space="0" w:color="auto"/>
              <w:left w:val="nil"/>
              <w:bottom w:val="single" w:sz="4" w:space="0" w:color="auto"/>
              <w:right w:val="single" w:sz="4" w:space="0" w:color="auto"/>
            </w:tcBorders>
            <w:shd w:val="clear" w:color="auto" w:fill="CCCCCC"/>
            <w:vAlign w:val="center"/>
          </w:tcPr>
          <w:p w14:paraId="4B629999" w14:textId="3D9887EF" w:rsidR="00B35FFA" w:rsidRPr="00FB148D" w:rsidRDefault="00B35FFA" w:rsidP="00D32176">
            <w:pPr>
              <w:jc w:val="center"/>
              <w:rPr>
                <w:rFonts w:ascii="Arial Narrow" w:eastAsia="Times New Roman" w:hAnsi="Arial Narrow" w:cs="Arial"/>
                <w:b/>
                <w:sz w:val="18"/>
                <w:szCs w:val="18"/>
              </w:rPr>
            </w:pPr>
            <w:r>
              <w:rPr>
                <w:rFonts w:ascii="Arial Narrow" w:eastAsia="Times New Roman" w:hAnsi="Arial Narrow" w:cs="Arial"/>
                <w:b/>
                <w:sz w:val="18"/>
                <w:szCs w:val="18"/>
              </w:rPr>
              <w:t>KAP SURVEYS</w:t>
            </w:r>
          </w:p>
        </w:tc>
      </w:tr>
      <w:tr w:rsidR="00B35FFA" w:rsidRPr="00D32176" w14:paraId="1F04E58A" w14:textId="77777777" w:rsidTr="00352F05">
        <w:trPr>
          <w:gridAfter w:val="1"/>
          <w:wAfter w:w="265" w:type="dxa"/>
          <w:trHeight w:val="431"/>
        </w:trPr>
        <w:tc>
          <w:tcPr>
            <w:tcW w:w="2016" w:type="dxa"/>
            <w:vMerge/>
            <w:tcBorders>
              <w:left w:val="single" w:sz="4" w:space="0" w:color="auto"/>
              <w:bottom w:val="single" w:sz="4" w:space="0" w:color="auto"/>
              <w:right w:val="single" w:sz="4" w:space="0" w:color="auto"/>
            </w:tcBorders>
            <w:shd w:val="clear" w:color="auto" w:fill="CCCCCC"/>
            <w:noWrap/>
            <w:vAlign w:val="center"/>
            <w:hideMark/>
          </w:tcPr>
          <w:p w14:paraId="352DC0E9" w14:textId="26758776" w:rsidR="00B35FFA" w:rsidRPr="00FB148D" w:rsidRDefault="00B35FFA" w:rsidP="00D32176">
            <w:pPr>
              <w:jc w:val="center"/>
              <w:rPr>
                <w:rFonts w:ascii="Arial Narrow" w:eastAsia="Times New Roman" w:hAnsi="Arial Narrow" w:cs="Arial"/>
                <w:b/>
                <w:sz w:val="18"/>
                <w:szCs w:val="18"/>
              </w:rPr>
            </w:pPr>
          </w:p>
        </w:tc>
        <w:tc>
          <w:tcPr>
            <w:tcW w:w="864" w:type="dxa"/>
            <w:tcBorders>
              <w:top w:val="single" w:sz="4" w:space="0" w:color="auto"/>
              <w:left w:val="nil"/>
              <w:bottom w:val="single" w:sz="4" w:space="0" w:color="auto"/>
            </w:tcBorders>
            <w:shd w:val="clear" w:color="auto" w:fill="CCCCCC"/>
            <w:noWrap/>
            <w:tcMar>
              <w:left w:w="14" w:type="dxa"/>
              <w:right w:w="14" w:type="dxa"/>
            </w:tcMar>
            <w:vAlign w:val="center"/>
            <w:hideMark/>
          </w:tcPr>
          <w:p w14:paraId="374E79D8" w14:textId="236B3B81" w:rsidR="00B35FFA" w:rsidRPr="00FD0063" w:rsidRDefault="002631A7" w:rsidP="00D32176">
            <w:pPr>
              <w:jc w:val="center"/>
              <w:rPr>
                <w:rFonts w:ascii="Arial Narrow" w:eastAsia="Times New Roman" w:hAnsi="Arial Narrow" w:cs="Arial"/>
                <w:sz w:val="18"/>
                <w:szCs w:val="18"/>
              </w:rPr>
            </w:pPr>
            <w:r w:rsidRPr="00FD0063">
              <w:rPr>
                <w:rFonts w:ascii="Arial Narrow" w:eastAsia="Times New Roman" w:hAnsi="Arial Narrow" w:cs="Arial"/>
                <w:sz w:val="18"/>
                <w:szCs w:val="18"/>
              </w:rPr>
              <w:t>Location</w:t>
            </w:r>
          </w:p>
        </w:tc>
        <w:tc>
          <w:tcPr>
            <w:tcW w:w="900" w:type="dxa"/>
            <w:tcBorders>
              <w:top w:val="single" w:sz="4" w:space="0" w:color="auto"/>
              <w:bottom w:val="single" w:sz="4" w:space="0" w:color="auto"/>
            </w:tcBorders>
            <w:shd w:val="clear" w:color="auto" w:fill="CCCCCC"/>
            <w:noWrap/>
            <w:vAlign w:val="center"/>
            <w:hideMark/>
          </w:tcPr>
          <w:p w14:paraId="58A52D15" w14:textId="4B257A69" w:rsidR="00B35FFA" w:rsidRPr="00FD0063" w:rsidRDefault="00B35FFA" w:rsidP="00D32176">
            <w:pPr>
              <w:jc w:val="center"/>
              <w:rPr>
                <w:rFonts w:ascii="Arial Narrow" w:eastAsia="Times New Roman" w:hAnsi="Arial Narrow" w:cs="Arial"/>
                <w:sz w:val="18"/>
                <w:szCs w:val="18"/>
              </w:rPr>
            </w:pPr>
            <w:r w:rsidRPr="00FD0063">
              <w:rPr>
                <w:rFonts w:ascii="Arial Narrow" w:eastAsia="Times New Roman" w:hAnsi="Arial Narrow" w:cs="Arial"/>
                <w:sz w:val="18"/>
                <w:szCs w:val="18"/>
              </w:rPr>
              <w:t>Pop.</w:t>
            </w:r>
          </w:p>
        </w:tc>
        <w:tc>
          <w:tcPr>
            <w:tcW w:w="810" w:type="dxa"/>
            <w:tcBorders>
              <w:top w:val="single" w:sz="4" w:space="0" w:color="auto"/>
              <w:bottom w:val="single" w:sz="4" w:space="0" w:color="auto"/>
              <w:right w:val="single" w:sz="4" w:space="0" w:color="auto"/>
            </w:tcBorders>
            <w:shd w:val="clear" w:color="auto" w:fill="CCCCCC"/>
            <w:noWrap/>
            <w:vAlign w:val="center"/>
            <w:hideMark/>
          </w:tcPr>
          <w:p w14:paraId="53BF61C2" w14:textId="77D5E1FC" w:rsidR="00B35FFA" w:rsidRPr="00FD0063" w:rsidRDefault="00B35FFA" w:rsidP="00D32176">
            <w:pPr>
              <w:jc w:val="center"/>
              <w:rPr>
                <w:rFonts w:ascii="Arial Narrow" w:eastAsia="Times New Roman" w:hAnsi="Arial Narrow" w:cs="Arial"/>
                <w:sz w:val="18"/>
                <w:szCs w:val="18"/>
              </w:rPr>
            </w:pPr>
            <w:r w:rsidRPr="00FD0063">
              <w:rPr>
                <w:rFonts w:ascii="Arial Narrow" w:eastAsia="Times New Roman" w:hAnsi="Arial Narrow" w:cs="Arial"/>
                <w:sz w:val="18"/>
                <w:szCs w:val="18"/>
              </w:rPr>
              <w:t>HH</w:t>
            </w:r>
          </w:p>
        </w:tc>
        <w:tc>
          <w:tcPr>
            <w:tcW w:w="900" w:type="dxa"/>
            <w:tcBorders>
              <w:top w:val="single" w:sz="4" w:space="0" w:color="auto"/>
              <w:left w:val="nil"/>
              <w:bottom w:val="single" w:sz="4" w:space="0" w:color="auto"/>
              <w:right w:val="nil"/>
            </w:tcBorders>
            <w:shd w:val="clear" w:color="auto" w:fill="CCCCCC"/>
            <w:vAlign w:val="center"/>
          </w:tcPr>
          <w:p w14:paraId="73D65A8F" w14:textId="561635A1" w:rsidR="00B35FFA" w:rsidRPr="00FD0063" w:rsidRDefault="00B35FFA" w:rsidP="00D32176">
            <w:pPr>
              <w:jc w:val="center"/>
              <w:rPr>
                <w:rFonts w:ascii="Arial Narrow" w:eastAsia="Times New Roman" w:hAnsi="Arial Narrow" w:cs="Arial"/>
                <w:sz w:val="18"/>
                <w:szCs w:val="18"/>
              </w:rPr>
            </w:pPr>
            <w:r w:rsidRPr="00FD0063">
              <w:rPr>
                <w:rFonts w:ascii="Arial Narrow" w:eastAsia="Times New Roman" w:hAnsi="Arial Narrow" w:cs="Arial"/>
                <w:sz w:val="18"/>
                <w:szCs w:val="18"/>
              </w:rPr>
              <w:t>Location</w:t>
            </w:r>
          </w:p>
        </w:tc>
        <w:tc>
          <w:tcPr>
            <w:tcW w:w="540" w:type="dxa"/>
            <w:tcBorders>
              <w:top w:val="single" w:sz="4" w:space="0" w:color="auto"/>
              <w:left w:val="nil"/>
              <w:bottom w:val="single" w:sz="4" w:space="0" w:color="auto"/>
              <w:right w:val="single" w:sz="4" w:space="0" w:color="auto"/>
            </w:tcBorders>
            <w:shd w:val="clear" w:color="auto" w:fill="CCCCCC"/>
            <w:vAlign w:val="center"/>
            <w:hideMark/>
          </w:tcPr>
          <w:p w14:paraId="402DDFF2" w14:textId="69E2132E" w:rsidR="00B35FFA" w:rsidRPr="00FD0063" w:rsidRDefault="00B35FFA" w:rsidP="00B35FFA">
            <w:pPr>
              <w:jc w:val="center"/>
              <w:rPr>
                <w:rFonts w:ascii="Arial Narrow" w:eastAsia="Times New Roman" w:hAnsi="Arial Narrow" w:cs="Arial"/>
                <w:sz w:val="18"/>
                <w:szCs w:val="18"/>
              </w:rPr>
            </w:pPr>
            <w:r w:rsidRPr="00FD0063">
              <w:rPr>
                <w:rFonts w:ascii="Arial Narrow" w:eastAsia="Times New Roman" w:hAnsi="Arial Narrow" w:cs="Arial"/>
                <w:sz w:val="18"/>
                <w:szCs w:val="18"/>
              </w:rPr>
              <w:t>HH</w:t>
            </w:r>
          </w:p>
        </w:tc>
      </w:tr>
      <w:tr w:rsidR="00B35FFA" w:rsidRPr="00D32176" w14:paraId="67C7925F" w14:textId="77777777" w:rsidTr="00352F05">
        <w:trPr>
          <w:gridAfter w:val="1"/>
          <w:wAfter w:w="265" w:type="dxa"/>
          <w:trHeight w:val="360"/>
        </w:trPr>
        <w:tc>
          <w:tcPr>
            <w:tcW w:w="2016" w:type="dxa"/>
            <w:tcBorders>
              <w:top w:val="single" w:sz="4" w:space="0" w:color="auto"/>
              <w:left w:val="single" w:sz="4" w:space="0" w:color="auto"/>
              <w:right w:val="single" w:sz="4" w:space="0" w:color="auto"/>
            </w:tcBorders>
            <w:shd w:val="clear" w:color="auto" w:fill="auto"/>
            <w:noWrap/>
            <w:vAlign w:val="center"/>
            <w:hideMark/>
          </w:tcPr>
          <w:p w14:paraId="19E68F2A" w14:textId="77777777" w:rsidR="00B35FFA" w:rsidRPr="00352F05" w:rsidRDefault="00B35FFA" w:rsidP="007439E0">
            <w:pPr>
              <w:jc w:val="right"/>
              <w:rPr>
                <w:rFonts w:ascii="Arial" w:eastAsia="Times New Roman" w:hAnsi="Arial" w:cs="Arial"/>
                <w:sz w:val="16"/>
                <w:szCs w:val="16"/>
              </w:rPr>
            </w:pPr>
            <w:r w:rsidRPr="00352F05">
              <w:rPr>
                <w:rFonts w:ascii="Arial" w:eastAsia="Times New Roman" w:hAnsi="Arial" w:cs="Arial"/>
                <w:sz w:val="16"/>
                <w:szCs w:val="16"/>
              </w:rPr>
              <w:t>IDP Camps</w:t>
            </w:r>
          </w:p>
        </w:tc>
        <w:tc>
          <w:tcPr>
            <w:tcW w:w="864" w:type="dxa"/>
            <w:tcBorders>
              <w:top w:val="single" w:sz="4" w:space="0" w:color="auto"/>
              <w:left w:val="nil"/>
            </w:tcBorders>
            <w:shd w:val="clear" w:color="auto" w:fill="auto"/>
            <w:noWrap/>
            <w:tcMar>
              <w:left w:w="14" w:type="dxa"/>
              <w:right w:w="14" w:type="dxa"/>
            </w:tcMar>
            <w:vAlign w:val="center"/>
            <w:hideMark/>
          </w:tcPr>
          <w:p w14:paraId="3D0F024B" w14:textId="77777777" w:rsidR="00B35FFA" w:rsidRPr="00352F05" w:rsidRDefault="00B35FFA" w:rsidP="00352F05">
            <w:pPr>
              <w:jc w:val="center"/>
              <w:rPr>
                <w:rFonts w:ascii="Arial" w:eastAsia="Times New Roman" w:hAnsi="Arial" w:cs="Arial"/>
                <w:sz w:val="16"/>
                <w:szCs w:val="16"/>
              </w:rPr>
            </w:pPr>
            <w:r w:rsidRPr="00352F05">
              <w:rPr>
                <w:rFonts w:ascii="Arial" w:eastAsia="Times New Roman" w:hAnsi="Arial" w:cs="Arial"/>
                <w:sz w:val="16"/>
                <w:szCs w:val="16"/>
              </w:rPr>
              <w:t>12</w:t>
            </w:r>
          </w:p>
        </w:tc>
        <w:tc>
          <w:tcPr>
            <w:tcW w:w="900" w:type="dxa"/>
            <w:tcBorders>
              <w:top w:val="single" w:sz="4" w:space="0" w:color="auto"/>
            </w:tcBorders>
            <w:shd w:val="clear" w:color="auto" w:fill="auto"/>
            <w:noWrap/>
            <w:vAlign w:val="center"/>
            <w:hideMark/>
          </w:tcPr>
          <w:p w14:paraId="03D7CE64" w14:textId="77777777" w:rsidR="00B35FFA" w:rsidRPr="00352F05" w:rsidRDefault="00B35FFA" w:rsidP="00352F05">
            <w:pPr>
              <w:jc w:val="center"/>
              <w:rPr>
                <w:rFonts w:ascii="Arial" w:eastAsia="Times New Roman" w:hAnsi="Arial" w:cs="Arial"/>
                <w:sz w:val="16"/>
                <w:szCs w:val="16"/>
              </w:rPr>
            </w:pPr>
            <w:r w:rsidRPr="00352F05">
              <w:rPr>
                <w:rFonts w:ascii="Arial" w:eastAsia="Times New Roman" w:hAnsi="Arial" w:cs="Arial"/>
                <w:sz w:val="16"/>
                <w:szCs w:val="16"/>
              </w:rPr>
              <w:t>70,088</w:t>
            </w:r>
          </w:p>
        </w:tc>
        <w:tc>
          <w:tcPr>
            <w:tcW w:w="810" w:type="dxa"/>
            <w:tcBorders>
              <w:top w:val="single" w:sz="4" w:space="0" w:color="auto"/>
              <w:right w:val="single" w:sz="4" w:space="0" w:color="auto"/>
            </w:tcBorders>
            <w:shd w:val="clear" w:color="auto" w:fill="auto"/>
            <w:noWrap/>
            <w:vAlign w:val="center"/>
            <w:hideMark/>
          </w:tcPr>
          <w:p w14:paraId="09158F53" w14:textId="77777777" w:rsidR="00B35FFA" w:rsidRPr="00352F05" w:rsidRDefault="00B35FFA" w:rsidP="00352F05">
            <w:pPr>
              <w:jc w:val="center"/>
              <w:rPr>
                <w:rFonts w:ascii="Arial" w:eastAsia="Times New Roman" w:hAnsi="Arial" w:cs="Arial"/>
                <w:sz w:val="16"/>
                <w:szCs w:val="16"/>
              </w:rPr>
            </w:pPr>
            <w:r w:rsidRPr="00352F05">
              <w:rPr>
                <w:rFonts w:ascii="Arial" w:eastAsia="Times New Roman" w:hAnsi="Arial" w:cs="Arial"/>
                <w:sz w:val="16"/>
                <w:szCs w:val="16"/>
              </w:rPr>
              <w:t>12,744</w:t>
            </w:r>
          </w:p>
        </w:tc>
        <w:tc>
          <w:tcPr>
            <w:tcW w:w="900" w:type="dxa"/>
            <w:tcBorders>
              <w:top w:val="single" w:sz="4" w:space="0" w:color="auto"/>
              <w:left w:val="nil"/>
            </w:tcBorders>
            <w:vAlign w:val="center"/>
          </w:tcPr>
          <w:p w14:paraId="69712EE6" w14:textId="2D144824" w:rsidR="00B35FFA" w:rsidRPr="00352F05" w:rsidRDefault="00B35FFA" w:rsidP="00352F05">
            <w:pPr>
              <w:jc w:val="center"/>
              <w:rPr>
                <w:rFonts w:ascii="Arial" w:eastAsia="Times New Roman" w:hAnsi="Arial" w:cs="Arial"/>
                <w:bCs/>
                <w:sz w:val="16"/>
                <w:szCs w:val="16"/>
              </w:rPr>
            </w:pPr>
            <w:r w:rsidRPr="00352F05">
              <w:rPr>
                <w:rFonts w:ascii="Arial" w:eastAsia="Times New Roman" w:hAnsi="Arial" w:cs="Arial"/>
                <w:bCs/>
                <w:sz w:val="16"/>
                <w:szCs w:val="16"/>
              </w:rPr>
              <w:t>11</w:t>
            </w:r>
          </w:p>
        </w:tc>
        <w:tc>
          <w:tcPr>
            <w:tcW w:w="540" w:type="dxa"/>
            <w:tcBorders>
              <w:top w:val="single" w:sz="4" w:space="0" w:color="auto"/>
              <w:right w:val="single" w:sz="4" w:space="0" w:color="auto"/>
            </w:tcBorders>
            <w:shd w:val="clear" w:color="auto" w:fill="auto"/>
            <w:noWrap/>
            <w:vAlign w:val="center"/>
            <w:hideMark/>
          </w:tcPr>
          <w:p w14:paraId="1B281116" w14:textId="015D0ABA" w:rsidR="00B35FFA" w:rsidRPr="00352F05" w:rsidRDefault="00B35FFA" w:rsidP="00352F05">
            <w:pPr>
              <w:jc w:val="center"/>
              <w:rPr>
                <w:rFonts w:ascii="Arial" w:eastAsia="Times New Roman" w:hAnsi="Arial" w:cs="Arial"/>
                <w:bCs/>
                <w:sz w:val="16"/>
                <w:szCs w:val="16"/>
              </w:rPr>
            </w:pPr>
            <w:r w:rsidRPr="00352F05">
              <w:rPr>
                <w:rFonts w:ascii="Arial" w:eastAsia="Times New Roman" w:hAnsi="Arial" w:cs="Arial"/>
                <w:bCs/>
                <w:sz w:val="16"/>
                <w:szCs w:val="16"/>
              </w:rPr>
              <w:t>245</w:t>
            </w:r>
          </w:p>
        </w:tc>
      </w:tr>
      <w:tr w:rsidR="00B35FFA" w:rsidRPr="00D32176" w14:paraId="33994D01" w14:textId="77777777" w:rsidTr="00352F05">
        <w:trPr>
          <w:gridAfter w:val="1"/>
          <w:wAfter w:w="265" w:type="dxa"/>
          <w:trHeight w:val="360"/>
        </w:trPr>
        <w:tc>
          <w:tcPr>
            <w:tcW w:w="2016" w:type="dxa"/>
            <w:tcBorders>
              <w:top w:val="nil"/>
              <w:left w:val="single" w:sz="4" w:space="0" w:color="auto"/>
              <w:right w:val="single" w:sz="4" w:space="0" w:color="auto"/>
            </w:tcBorders>
            <w:shd w:val="clear" w:color="auto" w:fill="auto"/>
            <w:noWrap/>
            <w:vAlign w:val="center"/>
            <w:hideMark/>
          </w:tcPr>
          <w:p w14:paraId="6E4745D0" w14:textId="77777777" w:rsidR="00B35FFA" w:rsidRPr="00352F05" w:rsidRDefault="00B35FFA" w:rsidP="007439E0">
            <w:pPr>
              <w:jc w:val="right"/>
              <w:rPr>
                <w:rFonts w:ascii="Arial" w:eastAsia="Times New Roman" w:hAnsi="Arial" w:cs="Arial"/>
                <w:sz w:val="16"/>
                <w:szCs w:val="16"/>
              </w:rPr>
            </w:pPr>
            <w:r w:rsidRPr="00352F05">
              <w:rPr>
                <w:rFonts w:ascii="Arial" w:eastAsia="Times New Roman" w:hAnsi="Arial" w:cs="Arial"/>
                <w:sz w:val="16"/>
                <w:szCs w:val="16"/>
              </w:rPr>
              <w:t>Villages near IDP Camps</w:t>
            </w:r>
          </w:p>
        </w:tc>
        <w:tc>
          <w:tcPr>
            <w:tcW w:w="864" w:type="dxa"/>
            <w:tcBorders>
              <w:top w:val="nil"/>
              <w:left w:val="nil"/>
            </w:tcBorders>
            <w:shd w:val="clear" w:color="auto" w:fill="auto"/>
            <w:noWrap/>
            <w:tcMar>
              <w:left w:w="14" w:type="dxa"/>
              <w:right w:w="14" w:type="dxa"/>
            </w:tcMar>
            <w:vAlign w:val="center"/>
            <w:hideMark/>
          </w:tcPr>
          <w:p w14:paraId="3F4E2DB4" w14:textId="77777777" w:rsidR="00B35FFA" w:rsidRPr="00352F05" w:rsidRDefault="00B35FFA" w:rsidP="00352F05">
            <w:pPr>
              <w:jc w:val="center"/>
              <w:rPr>
                <w:rFonts w:ascii="Arial" w:eastAsia="Times New Roman" w:hAnsi="Arial" w:cs="Arial"/>
                <w:sz w:val="16"/>
                <w:szCs w:val="16"/>
              </w:rPr>
            </w:pPr>
            <w:r w:rsidRPr="00352F05">
              <w:rPr>
                <w:rFonts w:ascii="Arial" w:eastAsia="Times New Roman" w:hAnsi="Arial" w:cs="Arial"/>
                <w:sz w:val="16"/>
                <w:szCs w:val="16"/>
              </w:rPr>
              <w:t>9</w:t>
            </w:r>
          </w:p>
        </w:tc>
        <w:tc>
          <w:tcPr>
            <w:tcW w:w="900" w:type="dxa"/>
            <w:tcBorders>
              <w:top w:val="nil"/>
            </w:tcBorders>
            <w:shd w:val="clear" w:color="auto" w:fill="auto"/>
            <w:noWrap/>
            <w:vAlign w:val="center"/>
            <w:hideMark/>
          </w:tcPr>
          <w:p w14:paraId="353C3705" w14:textId="77777777" w:rsidR="00B35FFA" w:rsidRPr="00352F05" w:rsidRDefault="00B35FFA" w:rsidP="00352F05">
            <w:pPr>
              <w:jc w:val="center"/>
              <w:rPr>
                <w:rFonts w:ascii="Arial" w:eastAsia="Times New Roman" w:hAnsi="Arial" w:cs="Arial"/>
                <w:sz w:val="16"/>
                <w:szCs w:val="16"/>
              </w:rPr>
            </w:pPr>
            <w:r w:rsidRPr="00352F05">
              <w:rPr>
                <w:rFonts w:ascii="Arial" w:eastAsia="Times New Roman" w:hAnsi="Arial" w:cs="Arial"/>
                <w:sz w:val="16"/>
                <w:szCs w:val="16"/>
              </w:rPr>
              <w:t>43,613</w:t>
            </w:r>
          </w:p>
        </w:tc>
        <w:tc>
          <w:tcPr>
            <w:tcW w:w="810" w:type="dxa"/>
            <w:tcBorders>
              <w:top w:val="nil"/>
              <w:right w:val="single" w:sz="4" w:space="0" w:color="auto"/>
            </w:tcBorders>
            <w:shd w:val="clear" w:color="auto" w:fill="auto"/>
            <w:noWrap/>
            <w:vAlign w:val="center"/>
            <w:hideMark/>
          </w:tcPr>
          <w:p w14:paraId="6217927B" w14:textId="77777777" w:rsidR="00B35FFA" w:rsidRPr="00352F05" w:rsidRDefault="00B35FFA" w:rsidP="00352F05">
            <w:pPr>
              <w:jc w:val="center"/>
              <w:rPr>
                <w:rFonts w:ascii="Arial" w:eastAsia="Times New Roman" w:hAnsi="Arial" w:cs="Arial"/>
                <w:sz w:val="16"/>
                <w:szCs w:val="16"/>
              </w:rPr>
            </w:pPr>
            <w:r w:rsidRPr="00352F05">
              <w:rPr>
                <w:rFonts w:ascii="Arial" w:eastAsia="Times New Roman" w:hAnsi="Arial" w:cs="Arial"/>
                <w:sz w:val="16"/>
                <w:szCs w:val="16"/>
              </w:rPr>
              <w:t>7,929</w:t>
            </w:r>
          </w:p>
        </w:tc>
        <w:tc>
          <w:tcPr>
            <w:tcW w:w="900" w:type="dxa"/>
            <w:tcBorders>
              <w:left w:val="nil"/>
            </w:tcBorders>
            <w:shd w:val="clear" w:color="auto" w:fill="auto"/>
            <w:vAlign w:val="center"/>
          </w:tcPr>
          <w:p w14:paraId="31472FBA" w14:textId="5B882800" w:rsidR="00B35FFA" w:rsidRPr="00352F05" w:rsidRDefault="00B35FFA" w:rsidP="00352F05">
            <w:pPr>
              <w:jc w:val="center"/>
              <w:rPr>
                <w:rFonts w:ascii="Arial" w:eastAsia="Times New Roman" w:hAnsi="Arial" w:cs="Arial"/>
                <w:bCs/>
                <w:sz w:val="16"/>
                <w:szCs w:val="16"/>
              </w:rPr>
            </w:pPr>
            <w:r w:rsidRPr="00352F05">
              <w:rPr>
                <w:rFonts w:ascii="Arial" w:eastAsia="Times New Roman" w:hAnsi="Arial" w:cs="Arial"/>
                <w:bCs/>
                <w:sz w:val="16"/>
                <w:szCs w:val="16"/>
              </w:rPr>
              <w:t>8</w:t>
            </w:r>
          </w:p>
        </w:tc>
        <w:tc>
          <w:tcPr>
            <w:tcW w:w="540" w:type="dxa"/>
            <w:tcBorders>
              <w:right w:val="single" w:sz="4" w:space="0" w:color="auto"/>
            </w:tcBorders>
            <w:shd w:val="clear" w:color="auto" w:fill="auto"/>
            <w:noWrap/>
            <w:vAlign w:val="center"/>
            <w:hideMark/>
          </w:tcPr>
          <w:p w14:paraId="3D5B6674" w14:textId="362129A3" w:rsidR="00B35FFA" w:rsidRPr="00352F05" w:rsidRDefault="00B35FFA" w:rsidP="00352F05">
            <w:pPr>
              <w:jc w:val="center"/>
              <w:rPr>
                <w:rFonts w:ascii="Arial" w:eastAsia="Times New Roman" w:hAnsi="Arial" w:cs="Arial"/>
                <w:bCs/>
                <w:sz w:val="16"/>
                <w:szCs w:val="16"/>
              </w:rPr>
            </w:pPr>
            <w:r w:rsidRPr="00352F05">
              <w:rPr>
                <w:rFonts w:ascii="Arial" w:eastAsia="Times New Roman" w:hAnsi="Arial" w:cs="Arial"/>
                <w:bCs/>
                <w:sz w:val="16"/>
                <w:szCs w:val="16"/>
              </w:rPr>
              <w:t>152</w:t>
            </w:r>
          </w:p>
        </w:tc>
      </w:tr>
      <w:tr w:rsidR="00B35FFA" w:rsidRPr="00D32176" w14:paraId="65756301" w14:textId="77777777" w:rsidTr="00352F05">
        <w:trPr>
          <w:gridAfter w:val="1"/>
          <w:wAfter w:w="265" w:type="dxa"/>
          <w:trHeight w:val="360"/>
        </w:trPr>
        <w:tc>
          <w:tcPr>
            <w:tcW w:w="2016" w:type="dxa"/>
            <w:tcBorders>
              <w:top w:val="nil"/>
              <w:left w:val="single" w:sz="4" w:space="0" w:color="auto"/>
              <w:bottom w:val="single" w:sz="4" w:space="0" w:color="auto"/>
              <w:right w:val="single" w:sz="4" w:space="0" w:color="auto"/>
            </w:tcBorders>
            <w:shd w:val="clear" w:color="auto" w:fill="auto"/>
            <w:noWrap/>
            <w:vAlign w:val="center"/>
            <w:hideMark/>
          </w:tcPr>
          <w:p w14:paraId="1B2BDE3B" w14:textId="77777777" w:rsidR="00B35FFA" w:rsidRPr="00352F05" w:rsidRDefault="00B35FFA" w:rsidP="007439E0">
            <w:pPr>
              <w:jc w:val="right"/>
              <w:rPr>
                <w:rFonts w:ascii="Arial" w:eastAsia="Times New Roman" w:hAnsi="Arial" w:cs="Arial"/>
                <w:sz w:val="16"/>
                <w:szCs w:val="16"/>
              </w:rPr>
            </w:pPr>
            <w:r w:rsidRPr="00352F05">
              <w:rPr>
                <w:rFonts w:ascii="Arial" w:eastAsia="Times New Roman" w:hAnsi="Arial" w:cs="Arial"/>
                <w:sz w:val="16"/>
                <w:szCs w:val="16"/>
              </w:rPr>
              <w:t>Villages in Remote Area</w:t>
            </w:r>
          </w:p>
        </w:tc>
        <w:tc>
          <w:tcPr>
            <w:tcW w:w="864" w:type="dxa"/>
            <w:tcBorders>
              <w:top w:val="nil"/>
              <w:left w:val="nil"/>
              <w:bottom w:val="single" w:sz="4" w:space="0" w:color="auto"/>
            </w:tcBorders>
            <w:shd w:val="clear" w:color="auto" w:fill="auto"/>
            <w:noWrap/>
            <w:tcMar>
              <w:left w:w="14" w:type="dxa"/>
              <w:right w:w="14" w:type="dxa"/>
            </w:tcMar>
            <w:vAlign w:val="center"/>
            <w:hideMark/>
          </w:tcPr>
          <w:p w14:paraId="7CF9401E" w14:textId="77777777" w:rsidR="00B35FFA" w:rsidRPr="00352F05" w:rsidRDefault="00B35FFA" w:rsidP="00352F05">
            <w:pPr>
              <w:jc w:val="center"/>
              <w:rPr>
                <w:rFonts w:ascii="Arial" w:eastAsia="Times New Roman" w:hAnsi="Arial" w:cs="Arial"/>
                <w:sz w:val="16"/>
                <w:szCs w:val="16"/>
              </w:rPr>
            </w:pPr>
            <w:r w:rsidRPr="00352F05">
              <w:rPr>
                <w:rFonts w:ascii="Arial" w:eastAsia="Times New Roman" w:hAnsi="Arial" w:cs="Arial"/>
                <w:sz w:val="16"/>
                <w:szCs w:val="16"/>
              </w:rPr>
              <w:t>8</w:t>
            </w:r>
          </w:p>
        </w:tc>
        <w:tc>
          <w:tcPr>
            <w:tcW w:w="900" w:type="dxa"/>
            <w:tcBorders>
              <w:top w:val="nil"/>
              <w:bottom w:val="single" w:sz="4" w:space="0" w:color="auto"/>
            </w:tcBorders>
            <w:shd w:val="clear" w:color="auto" w:fill="auto"/>
            <w:noWrap/>
            <w:vAlign w:val="center"/>
            <w:hideMark/>
          </w:tcPr>
          <w:p w14:paraId="011DB211" w14:textId="77777777" w:rsidR="00B35FFA" w:rsidRPr="00352F05" w:rsidRDefault="00B35FFA" w:rsidP="00352F05">
            <w:pPr>
              <w:jc w:val="center"/>
              <w:rPr>
                <w:rFonts w:ascii="Arial" w:eastAsia="Times New Roman" w:hAnsi="Arial" w:cs="Arial"/>
                <w:sz w:val="16"/>
                <w:szCs w:val="16"/>
              </w:rPr>
            </w:pPr>
            <w:r w:rsidRPr="00352F05">
              <w:rPr>
                <w:rFonts w:ascii="Arial" w:eastAsia="Times New Roman" w:hAnsi="Arial" w:cs="Arial"/>
                <w:sz w:val="16"/>
                <w:szCs w:val="16"/>
              </w:rPr>
              <w:t>8,687</w:t>
            </w:r>
          </w:p>
        </w:tc>
        <w:tc>
          <w:tcPr>
            <w:tcW w:w="810" w:type="dxa"/>
            <w:tcBorders>
              <w:top w:val="nil"/>
              <w:bottom w:val="single" w:sz="4" w:space="0" w:color="auto"/>
              <w:right w:val="single" w:sz="4" w:space="0" w:color="auto"/>
            </w:tcBorders>
            <w:shd w:val="clear" w:color="auto" w:fill="auto"/>
            <w:noWrap/>
            <w:vAlign w:val="center"/>
            <w:hideMark/>
          </w:tcPr>
          <w:p w14:paraId="6B44F0B1" w14:textId="77777777" w:rsidR="00B35FFA" w:rsidRPr="00352F05" w:rsidRDefault="00B35FFA" w:rsidP="00352F05">
            <w:pPr>
              <w:jc w:val="center"/>
              <w:rPr>
                <w:rFonts w:ascii="Arial" w:eastAsia="Times New Roman" w:hAnsi="Arial" w:cs="Arial"/>
                <w:sz w:val="16"/>
                <w:szCs w:val="16"/>
              </w:rPr>
            </w:pPr>
            <w:r w:rsidRPr="00352F05">
              <w:rPr>
                <w:rFonts w:ascii="Arial" w:eastAsia="Times New Roman" w:hAnsi="Arial" w:cs="Arial"/>
                <w:sz w:val="16"/>
                <w:szCs w:val="16"/>
              </w:rPr>
              <w:t>1,578</w:t>
            </w:r>
          </w:p>
        </w:tc>
        <w:tc>
          <w:tcPr>
            <w:tcW w:w="900" w:type="dxa"/>
            <w:tcBorders>
              <w:left w:val="nil"/>
              <w:bottom w:val="single" w:sz="4" w:space="0" w:color="auto"/>
            </w:tcBorders>
            <w:shd w:val="clear" w:color="auto" w:fill="auto"/>
            <w:vAlign w:val="center"/>
          </w:tcPr>
          <w:p w14:paraId="5228BE82" w14:textId="780F42C5" w:rsidR="00B35FFA" w:rsidRPr="00352F05" w:rsidRDefault="00B35FFA" w:rsidP="00352F05">
            <w:pPr>
              <w:jc w:val="center"/>
              <w:rPr>
                <w:rFonts w:ascii="Arial" w:eastAsia="Times New Roman" w:hAnsi="Arial" w:cs="Arial"/>
                <w:bCs/>
                <w:sz w:val="16"/>
                <w:szCs w:val="16"/>
              </w:rPr>
            </w:pPr>
            <w:r w:rsidRPr="00352F05">
              <w:rPr>
                <w:rFonts w:ascii="Arial" w:eastAsia="Times New Roman" w:hAnsi="Arial" w:cs="Arial"/>
                <w:bCs/>
                <w:sz w:val="16"/>
                <w:szCs w:val="16"/>
              </w:rPr>
              <w:t>7</w:t>
            </w:r>
          </w:p>
        </w:tc>
        <w:tc>
          <w:tcPr>
            <w:tcW w:w="540" w:type="dxa"/>
            <w:tcBorders>
              <w:bottom w:val="single" w:sz="4" w:space="0" w:color="auto"/>
              <w:right w:val="single" w:sz="4" w:space="0" w:color="auto"/>
            </w:tcBorders>
            <w:shd w:val="clear" w:color="auto" w:fill="auto"/>
            <w:noWrap/>
            <w:vAlign w:val="center"/>
            <w:hideMark/>
          </w:tcPr>
          <w:p w14:paraId="4ED2B12F" w14:textId="1E0A8DD2" w:rsidR="00B35FFA" w:rsidRPr="00352F05" w:rsidRDefault="00B35FFA" w:rsidP="00352F05">
            <w:pPr>
              <w:jc w:val="center"/>
              <w:rPr>
                <w:rFonts w:ascii="Arial" w:eastAsia="Times New Roman" w:hAnsi="Arial" w:cs="Arial"/>
                <w:bCs/>
                <w:sz w:val="16"/>
                <w:szCs w:val="16"/>
              </w:rPr>
            </w:pPr>
            <w:r w:rsidRPr="00352F05">
              <w:rPr>
                <w:rFonts w:ascii="Arial" w:eastAsia="Times New Roman" w:hAnsi="Arial" w:cs="Arial"/>
                <w:bCs/>
                <w:sz w:val="16"/>
                <w:szCs w:val="16"/>
              </w:rPr>
              <w:t>31</w:t>
            </w:r>
          </w:p>
        </w:tc>
      </w:tr>
      <w:tr w:rsidR="00B35FFA" w:rsidRPr="00D32176" w14:paraId="6E9590EC" w14:textId="77777777" w:rsidTr="00B35FFA">
        <w:trPr>
          <w:trHeight w:val="360"/>
        </w:trPr>
        <w:tc>
          <w:tcPr>
            <w:tcW w:w="2016" w:type="dxa"/>
            <w:tcBorders>
              <w:left w:val="nil"/>
            </w:tcBorders>
            <w:shd w:val="clear" w:color="auto" w:fill="auto"/>
            <w:noWrap/>
            <w:vAlign w:val="center"/>
            <w:hideMark/>
          </w:tcPr>
          <w:p w14:paraId="636408E2" w14:textId="77777777" w:rsidR="00B35FFA" w:rsidRPr="00D32176" w:rsidRDefault="00B35FFA" w:rsidP="00D32176">
            <w:pPr>
              <w:rPr>
                <w:rFonts w:ascii="Arial" w:eastAsia="Times New Roman" w:hAnsi="Arial" w:cs="Arial"/>
                <w:sz w:val="18"/>
                <w:szCs w:val="18"/>
              </w:rPr>
            </w:pPr>
          </w:p>
        </w:tc>
        <w:tc>
          <w:tcPr>
            <w:tcW w:w="864" w:type="dxa"/>
            <w:shd w:val="clear" w:color="auto" w:fill="auto"/>
            <w:noWrap/>
            <w:tcMar>
              <w:left w:w="14" w:type="dxa"/>
              <w:right w:w="14" w:type="dxa"/>
            </w:tcMar>
            <w:vAlign w:val="center"/>
            <w:hideMark/>
          </w:tcPr>
          <w:p w14:paraId="0FB5B90B" w14:textId="77777777" w:rsidR="00B35FFA" w:rsidRPr="00352F05" w:rsidRDefault="00B35FFA" w:rsidP="00352F05">
            <w:pPr>
              <w:jc w:val="center"/>
              <w:rPr>
                <w:rFonts w:ascii="Arial" w:eastAsia="Times New Roman" w:hAnsi="Arial" w:cs="Arial"/>
                <w:b/>
                <w:bCs/>
                <w:sz w:val="16"/>
                <w:szCs w:val="16"/>
              </w:rPr>
            </w:pPr>
            <w:r w:rsidRPr="00352F05">
              <w:rPr>
                <w:rFonts w:ascii="Arial" w:eastAsia="Times New Roman" w:hAnsi="Arial" w:cs="Arial"/>
                <w:b/>
                <w:bCs/>
                <w:sz w:val="16"/>
                <w:szCs w:val="16"/>
              </w:rPr>
              <w:t>29</w:t>
            </w:r>
          </w:p>
        </w:tc>
        <w:tc>
          <w:tcPr>
            <w:tcW w:w="900" w:type="dxa"/>
            <w:shd w:val="clear" w:color="auto" w:fill="auto"/>
            <w:noWrap/>
            <w:vAlign w:val="center"/>
            <w:hideMark/>
          </w:tcPr>
          <w:p w14:paraId="4988A6E6" w14:textId="77777777" w:rsidR="00B35FFA" w:rsidRPr="00352F05" w:rsidRDefault="00B35FFA" w:rsidP="00352F05">
            <w:pPr>
              <w:jc w:val="center"/>
              <w:rPr>
                <w:rFonts w:ascii="Arial" w:eastAsia="Times New Roman" w:hAnsi="Arial" w:cs="Arial"/>
                <w:b/>
                <w:bCs/>
                <w:sz w:val="16"/>
                <w:szCs w:val="16"/>
              </w:rPr>
            </w:pPr>
            <w:r w:rsidRPr="00352F05">
              <w:rPr>
                <w:rFonts w:ascii="Arial" w:eastAsia="Times New Roman" w:hAnsi="Arial" w:cs="Arial"/>
                <w:b/>
                <w:bCs/>
                <w:sz w:val="16"/>
                <w:szCs w:val="16"/>
              </w:rPr>
              <w:t>122,388</w:t>
            </w:r>
          </w:p>
        </w:tc>
        <w:tc>
          <w:tcPr>
            <w:tcW w:w="810" w:type="dxa"/>
            <w:shd w:val="clear" w:color="auto" w:fill="auto"/>
            <w:noWrap/>
            <w:vAlign w:val="center"/>
            <w:hideMark/>
          </w:tcPr>
          <w:p w14:paraId="1A779F79" w14:textId="77777777" w:rsidR="00B35FFA" w:rsidRPr="00352F05" w:rsidRDefault="00B35FFA" w:rsidP="00352F05">
            <w:pPr>
              <w:jc w:val="center"/>
              <w:rPr>
                <w:rFonts w:ascii="Arial" w:eastAsia="Times New Roman" w:hAnsi="Arial" w:cs="Arial"/>
                <w:b/>
                <w:bCs/>
                <w:sz w:val="16"/>
                <w:szCs w:val="16"/>
              </w:rPr>
            </w:pPr>
            <w:r w:rsidRPr="00352F05">
              <w:rPr>
                <w:rFonts w:ascii="Arial" w:eastAsia="Times New Roman" w:hAnsi="Arial" w:cs="Arial"/>
                <w:b/>
                <w:bCs/>
                <w:sz w:val="16"/>
                <w:szCs w:val="16"/>
              </w:rPr>
              <w:t>22,251</w:t>
            </w:r>
          </w:p>
        </w:tc>
        <w:tc>
          <w:tcPr>
            <w:tcW w:w="900" w:type="dxa"/>
            <w:vAlign w:val="center"/>
          </w:tcPr>
          <w:p w14:paraId="1BB22136" w14:textId="0C635919" w:rsidR="00B35FFA" w:rsidRPr="00352F05" w:rsidRDefault="00B35FFA" w:rsidP="00352F05">
            <w:pPr>
              <w:jc w:val="center"/>
              <w:rPr>
                <w:rFonts w:ascii="Arial" w:eastAsia="Times New Roman" w:hAnsi="Arial" w:cs="Arial"/>
                <w:b/>
                <w:bCs/>
                <w:sz w:val="16"/>
                <w:szCs w:val="16"/>
              </w:rPr>
            </w:pPr>
            <w:r w:rsidRPr="00352F05">
              <w:rPr>
                <w:rFonts w:ascii="Arial" w:eastAsia="Times New Roman" w:hAnsi="Arial" w:cs="Arial"/>
                <w:b/>
                <w:bCs/>
                <w:sz w:val="16"/>
                <w:szCs w:val="16"/>
              </w:rPr>
              <w:t>26</w:t>
            </w:r>
          </w:p>
        </w:tc>
        <w:tc>
          <w:tcPr>
            <w:tcW w:w="540" w:type="dxa"/>
            <w:shd w:val="clear" w:color="auto" w:fill="auto"/>
            <w:noWrap/>
            <w:tcMar>
              <w:left w:w="14" w:type="dxa"/>
              <w:right w:w="14" w:type="dxa"/>
            </w:tcMar>
            <w:vAlign w:val="center"/>
            <w:hideMark/>
          </w:tcPr>
          <w:p w14:paraId="4BD09580" w14:textId="3DA09ECE" w:rsidR="00B35FFA" w:rsidRPr="00352F05" w:rsidRDefault="004C42CF" w:rsidP="00352F05">
            <w:pPr>
              <w:jc w:val="center"/>
              <w:rPr>
                <w:rFonts w:ascii="Arial" w:eastAsia="Times New Roman" w:hAnsi="Arial" w:cs="Arial"/>
                <w:b/>
                <w:bCs/>
                <w:sz w:val="16"/>
                <w:szCs w:val="16"/>
              </w:rPr>
            </w:pPr>
            <w:r>
              <w:rPr>
                <w:noProof/>
                <w:lang w:val="en-US"/>
              </w:rPr>
              <w:drawing>
                <wp:anchor distT="0" distB="0" distL="114300" distR="114300" simplePos="0" relativeHeight="251682816" behindDoc="0" locked="0" layoutInCell="1" allowOverlap="1" wp14:anchorId="2CD68E28" wp14:editId="51684107">
                  <wp:simplePos x="0" y="0"/>
                  <wp:positionH relativeFrom="column">
                    <wp:posOffset>171450</wp:posOffset>
                  </wp:positionH>
                  <wp:positionV relativeFrom="paragraph">
                    <wp:posOffset>-24130</wp:posOffset>
                  </wp:positionV>
                  <wp:extent cx="2514600" cy="2171700"/>
                  <wp:effectExtent l="0" t="0" r="0" b="0"/>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B35FFA" w:rsidRPr="00352F05">
              <w:rPr>
                <w:rFonts w:ascii="Arial" w:eastAsia="Times New Roman" w:hAnsi="Arial" w:cs="Arial"/>
                <w:b/>
                <w:bCs/>
                <w:sz w:val="16"/>
                <w:szCs w:val="16"/>
              </w:rPr>
              <w:t>428</w:t>
            </w:r>
          </w:p>
        </w:tc>
        <w:tc>
          <w:tcPr>
            <w:tcW w:w="265" w:type="dxa"/>
            <w:tcBorders>
              <w:right w:val="nil"/>
            </w:tcBorders>
            <w:shd w:val="clear" w:color="auto" w:fill="auto"/>
            <w:noWrap/>
            <w:vAlign w:val="center"/>
            <w:hideMark/>
          </w:tcPr>
          <w:p w14:paraId="420FAE11" w14:textId="77777777" w:rsidR="00B35FFA" w:rsidRPr="00D32176" w:rsidRDefault="00B35FFA" w:rsidP="00D32176">
            <w:pPr>
              <w:jc w:val="center"/>
              <w:rPr>
                <w:rFonts w:ascii="Arial" w:eastAsia="Times New Roman" w:hAnsi="Arial" w:cs="Arial"/>
                <w:sz w:val="18"/>
                <w:szCs w:val="18"/>
              </w:rPr>
            </w:pPr>
          </w:p>
        </w:tc>
      </w:tr>
    </w:tbl>
    <w:p w14:paraId="2008D17D" w14:textId="08D3BA59" w:rsidR="00DC2BD8" w:rsidRDefault="00DC2BD8">
      <w:pPr>
        <w:rPr>
          <w:rFonts w:asciiTheme="majorHAnsi" w:hAnsiTheme="majorHAnsi"/>
        </w:rPr>
      </w:pPr>
    </w:p>
    <w:p w14:paraId="4A4DEE3E" w14:textId="77777777" w:rsidR="00401B64" w:rsidRDefault="00401B64" w:rsidP="00401B64"/>
    <w:tbl>
      <w:tblPr>
        <w:tblW w:w="6295" w:type="dxa"/>
        <w:tblInd w:w="108" w:type="dxa"/>
        <w:tblLayout w:type="fixed"/>
        <w:tblLook w:val="04A0" w:firstRow="1" w:lastRow="0" w:firstColumn="1" w:lastColumn="0" w:noHBand="0" w:noVBand="1"/>
      </w:tblPr>
      <w:tblGrid>
        <w:gridCol w:w="2016"/>
        <w:gridCol w:w="864"/>
        <w:gridCol w:w="900"/>
        <w:gridCol w:w="810"/>
        <w:gridCol w:w="900"/>
        <w:gridCol w:w="540"/>
        <w:gridCol w:w="265"/>
      </w:tblGrid>
      <w:tr w:rsidR="00993F34" w:rsidRPr="00D32176" w14:paraId="3539B24E" w14:textId="77777777" w:rsidTr="00352F05">
        <w:trPr>
          <w:gridAfter w:val="1"/>
          <w:wAfter w:w="265" w:type="dxa"/>
          <w:trHeight w:val="404"/>
        </w:trPr>
        <w:tc>
          <w:tcPr>
            <w:tcW w:w="2016" w:type="dxa"/>
            <w:vMerge w:val="restart"/>
            <w:tcBorders>
              <w:top w:val="single" w:sz="4" w:space="0" w:color="auto"/>
              <w:left w:val="single" w:sz="4" w:space="0" w:color="auto"/>
              <w:right w:val="single" w:sz="4" w:space="0" w:color="auto"/>
            </w:tcBorders>
            <w:shd w:val="clear" w:color="auto" w:fill="CCCCCC"/>
            <w:noWrap/>
            <w:vAlign w:val="center"/>
          </w:tcPr>
          <w:p w14:paraId="63627B16" w14:textId="1329F66E" w:rsidR="00993F34" w:rsidRPr="00352F05" w:rsidRDefault="00FD0063" w:rsidP="00993F34">
            <w:pPr>
              <w:jc w:val="center"/>
              <w:rPr>
                <w:rFonts w:ascii="Arial Narrow" w:eastAsia="Times New Roman" w:hAnsi="Arial Narrow" w:cs="Arial"/>
                <w:b/>
                <w:sz w:val="18"/>
                <w:szCs w:val="18"/>
              </w:rPr>
            </w:pPr>
            <w:r w:rsidRPr="00352F05">
              <w:rPr>
                <w:rFonts w:ascii="Arial Narrow" w:eastAsia="Times New Roman" w:hAnsi="Arial Narrow" w:cs="Arial"/>
                <w:b/>
                <w:sz w:val="18"/>
                <w:szCs w:val="18"/>
              </w:rPr>
              <w:t>Ethnicity</w:t>
            </w:r>
          </w:p>
        </w:tc>
        <w:tc>
          <w:tcPr>
            <w:tcW w:w="2574" w:type="dxa"/>
            <w:gridSpan w:val="3"/>
            <w:tcBorders>
              <w:top w:val="single" w:sz="4" w:space="0" w:color="auto"/>
              <w:left w:val="nil"/>
              <w:bottom w:val="single" w:sz="4" w:space="0" w:color="auto"/>
              <w:right w:val="single" w:sz="4" w:space="0" w:color="auto"/>
            </w:tcBorders>
            <w:shd w:val="clear" w:color="auto" w:fill="CCCCCC"/>
            <w:noWrap/>
            <w:tcMar>
              <w:left w:w="14" w:type="dxa"/>
              <w:right w:w="14" w:type="dxa"/>
            </w:tcMar>
            <w:vAlign w:val="center"/>
          </w:tcPr>
          <w:p w14:paraId="5418F905" w14:textId="77777777" w:rsidR="00993F34" w:rsidRPr="00FB148D" w:rsidRDefault="00993F34" w:rsidP="00993F34">
            <w:pPr>
              <w:jc w:val="center"/>
              <w:rPr>
                <w:rFonts w:ascii="Arial Narrow" w:eastAsia="Times New Roman" w:hAnsi="Arial Narrow" w:cs="Arial"/>
                <w:b/>
                <w:sz w:val="18"/>
                <w:szCs w:val="18"/>
              </w:rPr>
            </w:pPr>
            <w:r>
              <w:rPr>
                <w:rFonts w:ascii="Arial Narrow" w:eastAsia="Times New Roman" w:hAnsi="Arial Narrow" w:cs="Arial"/>
                <w:b/>
                <w:sz w:val="18"/>
                <w:szCs w:val="18"/>
              </w:rPr>
              <w:t>TARGET POPULATION</w:t>
            </w:r>
          </w:p>
        </w:tc>
        <w:tc>
          <w:tcPr>
            <w:tcW w:w="1440" w:type="dxa"/>
            <w:gridSpan w:val="2"/>
            <w:tcBorders>
              <w:top w:val="single" w:sz="4" w:space="0" w:color="auto"/>
              <w:left w:val="nil"/>
              <w:bottom w:val="single" w:sz="4" w:space="0" w:color="auto"/>
              <w:right w:val="single" w:sz="4" w:space="0" w:color="auto"/>
            </w:tcBorders>
            <w:shd w:val="clear" w:color="auto" w:fill="CCCCCC"/>
            <w:vAlign w:val="center"/>
          </w:tcPr>
          <w:p w14:paraId="5D162296" w14:textId="77777777" w:rsidR="00993F34" w:rsidRPr="00FB148D" w:rsidRDefault="00993F34" w:rsidP="00993F34">
            <w:pPr>
              <w:jc w:val="center"/>
              <w:rPr>
                <w:rFonts w:ascii="Arial Narrow" w:eastAsia="Times New Roman" w:hAnsi="Arial Narrow" w:cs="Arial"/>
                <w:b/>
                <w:sz w:val="18"/>
                <w:szCs w:val="18"/>
              </w:rPr>
            </w:pPr>
            <w:r>
              <w:rPr>
                <w:rFonts w:ascii="Arial Narrow" w:eastAsia="Times New Roman" w:hAnsi="Arial Narrow" w:cs="Arial"/>
                <w:b/>
                <w:sz w:val="18"/>
                <w:szCs w:val="18"/>
              </w:rPr>
              <w:t>KAP SURVEYS</w:t>
            </w:r>
          </w:p>
        </w:tc>
      </w:tr>
      <w:tr w:rsidR="00993F34" w:rsidRPr="00D32176" w14:paraId="4ED27153" w14:textId="77777777" w:rsidTr="00352F05">
        <w:trPr>
          <w:gridAfter w:val="1"/>
          <w:wAfter w:w="265" w:type="dxa"/>
          <w:trHeight w:val="431"/>
        </w:trPr>
        <w:tc>
          <w:tcPr>
            <w:tcW w:w="2016" w:type="dxa"/>
            <w:vMerge/>
            <w:tcBorders>
              <w:left w:val="single" w:sz="4" w:space="0" w:color="auto"/>
              <w:bottom w:val="single" w:sz="4" w:space="0" w:color="auto"/>
              <w:right w:val="single" w:sz="4" w:space="0" w:color="auto"/>
            </w:tcBorders>
            <w:shd w:val="clear" w:color="auto" w:fill="CCCCCC"/>
            <w:noWrap/>
            <w:vAlign w:val="center"/>
            <w:hideMark/>
          </w:tcPr>
          <w:p w14:paraId="017A1DB3" w14:textId="77777777" w:rsidR="00993F34" w:rsidRPr="00FB148D" w:rsidRDefault="00993F34" w:rsidP="00993F34">
            <w:pPr>
              <w:jc w:val="center"/>
              <w:rPr>
                <w:rFonts w:ascii="Arial Narrow" w:eastAsia="Times New Roman" w:hAnsi="Arial Narrow" w:cs="Arial"/>
                <w:b/>
                <w:sz w:val="18"/>
                <w:szCs w:val="18"/>
              </w:rPr>
            </w:pPr>
          </w:p>
        </w:tc>
        <w:tc>
          <w:tcPr>
            <w:tcW w:w="864" w:type="dxa"/>
            <w:tcBorders>
              <w:top w:val="single" w:sz="4" w:space="0" w:color="auto"/>
              <w:left w:val="nil"/>
              <w:bottom w:val="single" w:sz="4" w:space="0" w:color="auto"/>
            </w:tcBorders>
            <w:shd w:val="clear" w:color="auto" w:fill="CCCCCC"/>
            <w:noWrap/>
            <w:tcMar>
              <w:left w:w="14" w:type="dxa"/>
              <w:right w:w="14" w:type="dxa"/>
            </w:tcMar>
            <w:vAlign w:val="center"/>
            <w:hideMark/>
          </w:tcPr>
          <w:p w14:paraId="44D21AD1" w14:textId="77777777" w:rsidR="00993F34" w:rsidRPr="00FD0063" w:rsidRDefault="00993F34" w:rsidP="00993F34">
            <w:pPr>
              <w:jc w:val="center"/>
              <w:rPr>
                <w:rFonts w:ascii="Arial Narrow" w:eastAsia="Times New Roman" w:hAnsi="Arial Narrow" w:cs="Arial"/>
                <w:sz w:val="18"/>
                <w:szCs w:val="18"/>
              </w:rPr>
            </w:pPr>
            <w:r w:rsidRPr="00FD0063">
              <w:rPr>
                <w:rFonts w:ascii="Arial Narrow" w:eastAsia="Times New Roman" w:hAnsi="Arial Narrow" w:cs="Arial"/>
                <w:sz w:val="18"/>
                <w:szCs w:val="18"/>
              </w:rPr>
              <w:t>Location</w:t>
            </w:r>
          </w:p>
        </w:tc>
        <w:tc>
          <w:tcPr>
            <w:tcW w:w="900" w:type="dxa"/>
            <w:tcBorders>
              <w:top w:val="single" w:sz="4" w:space="0" w:color="auto"/>
              <w:bottom w:val="single" w:sz="4" w:space="0" w:color="auto"/>
            </w:tcBorders>
            <w:shd w:val="clear" w:color="auto" w:fill="CCCCCC"/>
            <w:noWrap/>
            <w:vAlign w:val="center"/>
            <w:hideMark/>
          </w:tcPr>
          <w:p w14:paraId="4B5BA602" w14:textId="77777777" w:rsidR="00993F34" w:rsidRPr="00FD0063" w:rsidRDefault="00993F34" w:rsidP="00993F34">
            <w:pPr>
              <w:jc w:val="center"/>
              <w:rPr>
                <w:rFonts w:ascii="Arial Narrow" w:eastAsia="Times New Roman" w:hAnsi="Arial Narrow" w:cs="Arial"/>
                <w:sz w:val="18"/>
                <w:szCs w:val="18"/>
              </w:rPr>
            </w:pPr>
            <w:r w:rsidRPr="00FD0063">
              <w:rPr>
                <w:rFonts w:ascii="Arial Narrow" w:eastAsia="Times New Roman" w:hAnsi="Arial Narrow" w:cs="Arial"/>
                <w:sz w:val="18"/>
                <w:szCs w:val="18"/>
              </w:rPr>
              <w:t>Pop.</w:t>
            </w:r>
          </w:p>
        </w:tc>
        <w:tc>
          <w:tcPr>
            <w:tcW w:w="810" w:type="dxa"/>
            <w:tcBorders>
              <w:top w:val="single" w:sz="4" w:space="0" w:color="auto"/>
              <w:bottom w:val="single" w:sz="4" w:space="0" w:color="auto"/>
              <w:right w:val="single" w:sz="4" w:space="0" w:color="auto"/>
            </w:tcBorders>
            <w:shd w:val="clear" w:color="auto" w:fill="CCCCCC"/>
            <w:noWrap/>
            <w:vAlign w:val="center"/>
            <w:hideMark/>
          </w:tcPr>
          <w:p w14:paraId="15FC771E" w14:textId="77777777" w:rsidR="00993F34" w:rsidRPr="00FD0063" w:rsidRDefault="00993F34" w:rsidP="00993F34">
            <w:pPr>
              <w:jc w:val="center"/>
              <w:rPr>
                <w:rFonts w:ascii="Arial Narrow" w:eastAsia="Times New Roman" w:hAnsi="Arial Narrow" w:cs="Arial"/>
                <w:sz w:val="18"/>
                <w:szCs w:val="18"/>
              </w:rPr>
            </w:pPr>
            <w:r w:rsidRPr="00FD0063">
              <w:rPr>
                <w:rFonts w:ascii="Arial Narrow" w:eastAsia="Times New Roman" w:hAnsi="Arial Narrow" w:cs="Arial"/>
                <w:sz w:val="18"/>
                <w:szCs w:val="18"/>
              </w:rPr>
              <w:t>HH</w:t>
            </w:r>
          </w:p>
        </w:tc>
        <w:tc>
          <w:tcPr>
            <w:tcW w:w="900" w:type="dxa"/>
            <w:tcBorders>
              <w:top w:val="single" w:sz="4" w:space="0" w:color="auto"/>
              <w:left w:val="nil"/>
              <w:bottom w:val="single" w:sz="4" w:space="0" w:color="auto"/>
              <w:right w:val="nil"/>
            </w:tcBorders>
            <w:shd w:val="clear" w:color="auto" w:fill="CCCCCC"/>
            <w:vAlign w:val="center"/>
          </w:tcPr>
          <w:p w14:paraId="11726BF4" w14:textId="77777777" w:rsidR="00993F34" w:rsidRPr="00FD0063" w:rsidRDefault="00993F34" w:rsidP="00993F34">
            <w:pPr>
              <w:jc w:val="center"/>
              <w:rPr>
                <w:rFonts w:ascii="Arial Narrow" w:eastAsia="Times New Roman" w:hAnsi="Arial Narrow" w:cs="Arial"/>
                <w:sz w:val="18"/>
                <w:szCs w:val="18"/>
              </w:rPr>
            </w:pPr>
            <w:r w:rsidRPr="00FD0063">
              <w:rPr>
                <w:rFonts w:ascii="Arial Narrow" w:eastAsia="Times New Roman" w:hAnsi="Arial Narrow" w:cs="Arial"/>
                <w:sz w:val="18"/>
                <w:szCs w:val="18"/>
              </w:rPr>
              <w:t>Location</w:t>
            </w:r>
          </w:p>
        </w:tc>
        <w:tc>
          <w:tcPr>
            <w:tcW w:w="540" w:type="dxa"/>
            <w:tcBorders>
              <w:top w:val="single" w:sz="4" w:space="0" w:color="auto"/>
              <w:left w:val="nil"/>
              <w:bottom w:val="single" w:sz="4" w:space="0" w:color="auto"/>
              <w:right w:val="single" w:sz="4" w:space="0" w:color="auto"/>
            </w:tcBorders>
            <w:shd w:val="clear" w:color="auto" w:fill="CCCCCC"/>
            <w:vAlign w:val="center"/>
            <w:hideMark/>
          </w:tcPr>
          <w:p w14:paraId="6DA43000" w14:textId="135D6AC7" w:rsidR="00993F34" w:rsidRPr="00FD0063" w:rsidRDefault="00993F34" w:rsidP="00993F34">
            <w:pPr>
              <w:rPr>
                <w:rFonts w:ascii="Arial Narrow" w:eastAsia="Times New Roman" w:hAnsi="Arial Narrow" w:cs="Arial"/>
                <w:sz w:val="18"/>
                <w:szCs w:val="18"/>
              </w:rPr>
            </w:pPr>
            <w:r w:rsidRPr="00FD0063">
              <w:rPr>
                <w:rFonts w:ascii="Arial Narrow" w:eastAsia="Times New Roman" w:hAnsi="Arial Narrow" w:cs="Arial"/>
                <w:sz w:val="18"/>
                <w:szCs w:val="18"/>
              </w:rPr>
              <w:t>HH</w:t>
            </w:r>
          </w:p>
        </w:tc>
      </w:tr>
      <w:tr w:rsidR="00FD0063" w:rsidRPr="00D32176" w14:paraId="0876A849" w14:textId="77777777" w:rsidTr="00352F05">
        <w:trPr>
          <w:gridAfter w:val="1"/>
          <w:wAfter w:w="265" w:type="dxa"/>
          <w:trHeight w:val="360"/>
        </w:trPr>
        <w:tc>
          <w:tcPr>
            <w:tcW w:w="2016" w:type="dxa"/>
            <w:tcBorders>
              <w:top w:val="single" w:sz="4" w:space="0" w:color="auto"/>
              <w:left w:val="single" w:sz="4" w:space="0" w:color="auto"/>
              <w:right w:val="single" w:sz="4" w:space="0" w:color="auto"/>
            </w:tcBorders>
            <w:shd w:val="clear" w:color="auto" w:fill="auto"/>
            <w:noWrap/>
            <w:vAlign w:val="center"/>
          </w:tcPr>
          <w:p w14:paraId="71808BC0" w14:textId="301BA0AA" w:rsidR="00FD0063" w:rsidRPr="00352F05" w:rsidRDefault="00FD0063" w:rsidP="00FD0063">
            <w:pPr>
              <w:jc w:val="right"/>
              <w:rPr>
                <w:rFonts w:ascii="Arial" w:eastAsia="Times New Roman" w:hAnsi="Arial" w:cs="Arial"/>
                <w:sz w:val="16"/>
                <w:szCs w:val="16"/>
              </w:rPr>
            </w:pPr>
            <w:r w:rsidRPr="00352F05">
              <w:rPr>
                <w:rFonts w:ascii="Arial" w:eastAsia="Times New Roman" w:hAnsi="Arial" w:cs="Arial"/>
                <w:sz w:val="16"/>
                <w:szCs w:val="16"/>
              </w:rPr>
              <w:t>Rakhine / Maramargyi</w:t>
            </w:r>
          </w:p>
        </w:tc>
        <w:tc>
          <w:tcPr>
            <w:tcW w:w="864" w:type="dxa"/>
            <w:tcBorders>
              <w:top w:val="single" w:sz="4" w:space="0" w:color="auto"/>
              <w:left w:val="nil"/>
            </w:tcBorders>
            <w:shd w:val="clear" w:color="auto" w:fill="auto"/>
            <w:noWrap/>
            <w:tcMar>
              <w:left w:w="14" w:type="dxa"/>
              <w:right w:w="14" w:type="dxa"/>
            </w:tcMar>
            <w:vAlign w:val="center"/>
          </w:tcPr>
          <w:p w14:paraId="6B7E451A" w14:textId="301929F3" w:rsidR="00FD0063" w:rsidRPr="00352F05" w:rsidRDefault="00FD0063" w:rsidP="00352F05">
            <w:pPr>
              <w:jc w:val="center"/>
              <w:rPr>
                <w:rFonts w:ascii="Arial" w:eastAsia="Times New Roman" w:hAnsi="Arial" w:cs="Arial"/>
                <w:sz w:val="16"/>
                <w:szCs w:val="16"/>
              </w:rPr>
            </w:pPr>
            <w:r w:rsidRPr="00352F05">
              <w:rPr>
                <w:rFonts w:ascii="Arial" w:eastAsia="Times New Roman" w:hAnsi="Arial" w:cs="Arial"/>
                <w:sz w:val="16"/>
                <w:szCs w:val="16"/>
              </w:rPr>
              <w:t>8</w:t>
            </w:r>
          </w:p>
        </w:tc>
        <w:tc>
          <w:tcPr>
            <w:tcW w:w="900" w:type="dxa"/>
            <w:tcBorders>
              <w:top w:val="single" w:sz="4" w:space="0" w:color="auto"/>
            </w:tcBorders>
            <w:shd w:val="clear" w:color="auto" w:fill="auto"/>
            <w:noWrap/>
            <w:vAlign w:val="center"/>
          </w:tcPr>
          <w:p w14:paraId="662DD620" w14:textId="58B35B4E" w:rsidR="00FD0063" w:rsidRPr="00352F05" w:rsidRDefault="00FD0063" w:rsidP="00352F05">
            <w:pPr>
              <w:jc w:val="center"/>
              <w:rPr>
                <w:rFonts w:ascii="Arial" w:eastAsia="Times New Roman" w:hAnsi="Arial" w:cs="Arial"/>
                <w:sz w:val="16"/>
                <w:szCs w:val="16"/>
              </w:rPr>
            </w:pPr>
            <w:r w:rsidRPr="00352F05">
              <w:rPr>
                <w:rFonts w:ascii="Arial" w:eastAsia="Times New Roman" w:hAnsi="Arial" w:cs="Arial"/>
                <w:sz w:val="16"/>
                <w:szCs w:val="16"/>
              </w:rPr>
              <w:t>7,031</w:t>
            </w:r>
          </w:p>
        </w:tc>
        <w:tc>
          <w:tcPr>
            <w:tcW w:w="810" w:type="dxa"/>
            <w:tcBorders>
              <w:top w:val="single" w:sz="4" w:space="0" w:color="auto"/>
              <w:right w:val="single" w:sz="4" w:space="0" w:color="auto"/>
            </w:tcBorders>
            <w:shd w:val="clear" w:color="auto" w:fill="auto"/>
            <w:noWrap/>
            <w:vAlign w:val="center"/>
          </w:tcPr>
          <w:p w14:paraId="077C882F" w14:textId="73C2AB14" w:rsidR="00FD0063" w:rsidRPr="00352F05" w:rsidRDefault="00FD0063" w:rsidP="00352F05">
            <w:pPr>
              <w:jc w:val="center"/>
              <w:rPr>
                <w:rFonts w:ascii="Arial" w:eastAsia="Times New Roman" w:hAnsi="Arial" w:cs="Arial"/>
                <w:sz w:val="16"/>
                <w:szCs w:val="16"/>
              </w:rPr>
            </w:pPr>
            <w:r w:rsidRPr="00352F05">
              <w:rPr>
                <w:rFonts w:ascii="Arial" w:eastAsia="Times New Roman" w:hAnsi="Arial" w:cs="Arial"/>
                <w:sz w:val="16"/>
                <w:szCs w:val="16"/>
              </w:rPr>
              <w:t>1,279</w:t>
            </w:r>
          </w:p>
        </w:tc>
        <w:tc>
          <w:tcPr>
            <w:tcW w:w="900" w:type="dxa"/>
            <w:tcBorders>
              <w:top w:val="single" w:sz="4" w:space="0" w:color="auto"/>
              <w:left w:val="nil"/>
            </w:tcBorders>
            <w:shd w:val="clear" w:color="auto" w:fill="auto"/>
            <w:vAlign w:val="center"/>
          </w:tcPr>
          <w:p w14:paraId="4F811E88" w14:textId="2855F607" w:rsidR="00FD0063" w:rsidRPr="00352F05" w:rsidRDefault="00FD0063" w:rsidP="00352F05">
            <w:pPr>
              <w:jc w:val="center"/>
              <w:rPr>
                <w:rFonts w:ascii="Arial" w:eastAsia="Times New Roman" w:hAnsi="Arial" w:cs="Arial"/>
                <w:bCs/>
                <w:sz w:val="16"/>
                <w:szCs w:val="16"/>
              </w:rPr>
            </w:pPr>
            <w:r w:rsidRPr="00352F05">
              <w:rPr>
                <w:rFonts w:ascii="Arial" w:eastAsia="Times New Roman" w:hAnsi="Arial" w:cs="Arial"/>
                <w:bCs/>
                <w:sz w:val="16"/>
                <w:szCs w:val="16"/>
              </w:rPr>
              <w:t>6</w:t>
            </w:r>
          </w:p>
        </w:tc>
        <w:tc>
          <w:tcPr>
            <w:tcW w:w="540" w:type="dxa"/>
            <w:tcBorders>
              <w:top w:val="single" w:sz="4" w:space="0" w:color="auto"/>
              <w:right w:val="single" w:sz="4" w:space="0" w:color="auto"/>
            </w:tcBorders>
            <w:shd w:val="clear" w:color="auto" w:fill="auto"/>
            <w:noWrap/>
            <w:vAlign w:val="center"/>
            <w:hideMark/>
          </w:tcPr>
          <w:p w14:paraId="277D2EBC" w14:textId="29FAD12A" w:rsidR="00FD0063" w:rsidRPr="00352F05" w:rsidRDefault="00FD0063" w:rsidP="00352F05">
            <w:pPr>
              <w:jc w:val="center"/>
              <w:rPr>
                <w:rFonts w:ascii="Arial" w:eastAsia="Times New Roman" w:hAnsi="Arial" w:cs="Arial"/>
                <w:b/>
                <w:bCs/>
                <w:sz w:val="16"/>
                <w:szCs w:val="16"/>
              </w:rPr>
            </w:pPr>
            <w:r w:rsidRPr="00352F05">
              <w:rPr>
                <w:rFonts w:ascii="Arial" w:eastAsia="Times New Roman" w:hAnsi="Arial" w:cs="Arial"/>
                <w:sz w:val="16"/>
                <w:szCs w:val="16"/>
              </w:rPr>
              <w:t>25</w:t>
            </w:r>
          </w:p>
        </w:tc>
      </w:tr>
      <w:tr w:rsidR="00FD0063" w:rsidRPr="00D32176" w14:paraId="290268A8" w14:textId="77777777" w:rsidTr="00352F05">
        <w:trPr>
          <w:gridAfter w:val="1"/>
          <w:wAfter w:w="265" w:type="dxa"/>
          <w:trHeight w:val="360"/>
        </w:trPr>
        <w:tc>
          <w:tcPr>
            <w:tcW w:w="2016" w:type="dxa"/>
            <w:tcBorders>
              <w:top w:val="nil"/>
              <w:left w:val="single" w:sz="4" w:space="0" w:color="auto"/>
              <w:bottom w:val="single" w:sz="4" w:space="0" w:color="auto"/>
              <w:right w:val="single" w:sz="4" w:space="0" w:color="auto"/>
            </w:tcBorders>
            <w:shd w:val="clear" w:color="auto" w:fill="auto"/>
            <w:noWrap/>
            <w:vAlign w:val="center"/>
            <w:hideMark/>
          </w:tcPr>
          <w:p w14:paraId="4B229EA8" w14:textId="219458F1" w:rsidR="00FD0063" w:rsidRPr="00352F05" w:rsidRDefault="00FD0063" w:rsidP="00FD0063">
            <w:pPr>
              <w:jc w:val="right"/>
              <w:rPr>
                <w:rFonts w:ascii="Arial" w:eastAsia="Times New Roman" w:hAnsi="Arial" w:cs="Arial"/>
                <w:sz w:val="16"/>
                <w:szCs w:val="16"/>
              </w:rPr>
            </w:pPr>
            <w:r w:rsidRPr="00352F05">
              <w:rPr>
                <w:rFonts w:ascii="Arial" w:eastAsia="Times New Roman" w:hAnsi="Arial" w:cs="Arial"/>
                <w:sz w:val="16"/>
                <w:szCs w:val="16"/>
              </w:rPr>
              <w:t>Muslim</w:t>
            </w:r>
          </w:p>
        </w:tc>
        <w:tc>
          <w:tcPr>
            <w:tcW w:w="864" w:type="dxa"/>
            <w:tcBorders>
              <w:top w:val="nil"/>
              <w:left w:val="nil"/>
              <w:bottom w:val="single" w:sz="4" w:space="0" w:color="auto"/>
            </w:tcBorders>
            <w:shd w:val="clear" w:color="auto" w:fill="auto"/>
            <w:noWrap/>
            <w:tcMar>
              <w:left w:w="14" w:type="dxa"/>
              <w:right w:w="14" w:type="dxa"/>
            </w:tcMar>
            <w:vAlign w:val="center"/>
            <w:hideMark/>
          </w:tcPr>
          <w:p w14:paraId="0A2D7E55" w14:textId="14D29605" w:rsidR="00FD0063" w:rsidRPr="00352F05" w:rsidRDefault="00FD0063" w:rsidP="00352F05">
            <w:pPr>
              <w:jc w:val="center"/>
              <w:rPr>
                <w:rFonts w:ascii="Arial" w:eastAsia="Times New Roman" w:hAnsi="Arial" w:cs="Arial"/>
                <w:sz w:val="16"/>
                <w:szCs w:val="16"/>
              </w:rPr>
            </w:pPr>
            <w:r w:rsidRPr="00352F05">
              <w:rPr>
                <w:rFonts w:ascii="Arial" w:eastAsia="Times New Roman" w:hAnsi="Arial" w:cs="Arial"/>
                <w:sz w:val="16"/>
                <w:szCs w:val="16"/>
              </w:rPr>
              <w:t>2</w:t>
            </w:r>
            <w:r w:rsidR="00352F05" w:rsidRPr="00352F05">
              <w:rPr>
                <w:rFonts w:ascii="Arial" w:eastAsia="Times New Roman" w:hAnsi="Arial" w:cs="Arial"/>
                <w:sz w:val="16"/>
                <w:szCs w:val="16"/>
              </w:rPr>
              <w:t>1</w:t>
            </w:r>
          </w:p>
        </w:tc>
        <w:tc>
          <w:tcPr>
            <w:tcW w:w="900" w:type="dxa"/>
            <w:tcBorders>
              <w:top w:val="nil"/>
              <w:bottom w:val="single" w:sz="4" w:space="0" w:color="auto"/>
            </w:tcBorders>
            <w:shd w:val="clear" w:color="auto" w:fill="auto"/>
            <w:noWrap/>
            <w:vAlign w:val="center"/>
            <w:hideMark/>
          </w:tcPr>
          <w:p w14:paraId="0E543A8E" w14:textId="0E2A261D" w:rsidR="00FD0063" w:rsidRPr="00352F05" w:rsidRDefault="00FD0063" w:rsidP="00352F05">
            <w:pPr>
              <w:jc w:val="center"/>
              <w:rPr>
                <w:rFonts w:ascii="Arial" w:eastAsia="Times New Roman" w:hAnsi="Arial" w:cs="Arial"/>
                <w:sz w:val="16"/>
                <w:szCs w:val="16"/>
              </w:rPr>
            </w:pPr>
            <w:r w:rsidRPr="00352F05">
              <w:rPr>
                <w:rFonts w:ascii="Arial" w:eastAsia="Times New Roman" w:hAnsi="Arial" w:cs="Arial"/>
                <w:sz w:val="16"/>
                <w:szCs w:val="16"/>
              </w:rPr>
              <w:t>115,357</w:t>
            </w:r>
          </w:p>
        </w:tc>
        <w:tc>
          <w:tcPr>
            <w:tcW w:w="810" w:type="dxa"/>
            <w:tcBorders>
              <w:top w:val="nil"/>
              <w:bottom w:val="single" w:sz="4" w:space="0" w:color="auto"/>
              <w:right w:val="single" w:sz="4" w:space="0" w:color="auto"/>
            </w:tcBorders>
            <w:shd w:val="clear" w:color="auto" w:fill="auto"/>
            <w:noWrap/>
            <w:vAlign w:val="center"/>
            <w:hideMark/>
          </w:tcPr>
          <w:p w14:paraId="50570B7D" w14:textId="0204E627" w:rsidR="00FD0063" w:rsidRPr="00352F05" w:rsidRDefault="00FD0063" w:rsidP="00352F05">
            <w:pPr>
              <w:jc w:val="center"/>
              <w:rPr>
                <w:rFonts w:ascii="Arial" w:eastAsia="Times New Roman" w:hAnsi="Arial" w:cs="Arial"/>
                <w:sz w:val="16"/>
                <w:szCs w:val="16"/>
              </w:rPr>
            </w:pPr>
            <w:r w:rsidRPr="00352F05">
              <w:rPr>
                <w:rFonts w:ascii="Arial" w:eastAsia="Times New Roman" w:hAnsi="Arial" w:cs="Arial"/>
                <w:sz w:val="16"/>
                <w:szCs w:val="16"/>
              </w:rPr>
              <w:t>20,972</w:t>
            </w:r>
          </w:p>
        </w:tc>
        <w:tc>
          <w:tcPr>
            <w:tcW w:w="900" w:type="dxa"/>
            <w:tcBorders>
              <w:left w:val="nil"/>
              <w:bottom w:val="single" w:sz="4" w:space="0" w:color="auto"/>
            </w:tcBorders>
            <w:shd w:val="clear" w:color="auto" w:fill="auto"/>
            <w:vAlign w:val="center"/>
          </w:tcPr>
          <w:p w14:paraId="36609333" w14:textId="1AE92822" w:rsidR="00FD0063" w:rsidRPr="00352F05" w:rsidRDefault="00FD0063" w:rsidP="00352F05">
            <w:pPr>
              <w:jc w:val="center"/>
              <w:rPr>
                <w:rFonts w:ascii="Arial" w:eastAsia="Times New Roman" w:hAnsi="Arial" w:cs="Arial"/>
                <w:bCs/>
                <w:sz w:val="16"/>
                <w:szCs w:val="16"/>
              </w:rPr>
            </w:pPr>
            <w:r w:rsidRPr="00352F05">
              <w:rPr>
                <w:rFonts w:ascii="Arial" w:eastAsia="Times New Roman" w:hAnsi="Arial" w:cs="Arial"/>
                <w:bCs/>
                <w:sz w:val="16"/>
                <w:szCs w:val="16"/>
              </w:rPr>
              <w:t>20</w:t>
            </w:r>
          </w:p>
        </w:tc>
        <w:tc>
          <w:tcPr>
            <w:tcW w:w="540" w:type="dxa"/>
            <w:tcBorders>
              <w:bottom w:val="single" w:sz="4" w:space="0" w:color="auto"/>
              <w:right w:val="single" w:sz="4" w:space="0" w:color="auto"/>
            </w:tcBorders>
            <w:shd w:val="clear" w:color="auto" w:fill="auto"/>
            <w:noWrap/>
            <w:vAlign w:val="center"/>
            <w:hideMark/>
          </w:tcPr>
          <w:p w14:paraId="31FBEEBC" w14:textId="1636F76D" w:rsidR="00FD0063" w:rsidRPr="00352F05" w:rsidRDefault="00FD0063" w:rsidP="00352F05">
            <w:pPr>
              <w:jc w:val="center"/>
              <w:rPr>
                <w:rFonts w:ascii="Arial" w:eastAsia="Times New Roman" w:hAnsi="Arial" w:cs="Arial"/>
                <w:b/>
                <w:bCs/>
                <w:sz w:val="16"/>
                <w:szCs w:val="16"/>
              </w:rPr>
            </w:pPr>
            <w:r w:rsidRPr="00352F05">
              <w:rPr>
                <w:rFonts w:ascii="Arial" w:eastAsia="Times New Roman" w:hAnsi="Arial" w:cs="Arial"/>
                <w:sz w:val="16"/>
                <w:szCs w:val="16"/>
              </w:rPr>
              <w:t>403</w:t>
            </w:r>
          </w:p>
        </w:tc>
      </w:tr>
      <w:tr w:rsidR="00993F34" w:rsidRPr="00D32176" w14:paraId="7829FAFF" w14:textId="77777777" w:rsidTr="00993F34">
        <w:trPr>
          <w:trHeight w:val="360"/>
        </w:trPr>
        <w:tc>
          <w:tcPr>
            <w:tcW w:w="2016" w:type="dxa"/>
            <w:tcBorders>
              <w:left w:val="nil"/>
            </w:tcBorders>
            <w:shd w:val="clear" w:color="auto" w:fill="auto"/>
            <w:noWrap/>
            <w:vAlign w:val="center"/>
            <w:hideMark/>
          </w:tcPr>
          <w:p w14:paraId="5C75BE03" w14:textId="77777777" w:rsidR="00993F34" w:rsidRPr="00D32176" w:rsidRDefault="00993F34" w:rsidP="00993F34">
            <w:pPr>
              <w:rPr>
                <w:rFonts w:ascii="Arial" w:eastAsia="Times New Roman" w:hAnsi="Arial" w:cs="Arial"/>
                <w:sz w:val="18"/>
                <w:szCs w:val="18"/>
              </w:rPr>
            </w:pPr>
          </w:p>
        </w:tc>
        <w:tc>
          <w:tcPr>
            <w:tcW w:w="864" w:type="dxa"/>
            <w:shd w:val="clear" w:color="auto" w:fill="auto"/>
            <w:noWrap/>
            <w:tcMar>
              <w:left w:w="14" w:type="dxa"/>
              <w:right w:w="14" w:type="dxa"/>
            </w:tcMar>
            <w:vAlign w:val="center"/>
            <w:hideMark/>
          </w:tcPr>
          <w:p w14:paraId="2C074FC9" w14:textId="77777777" w:rsidR="00993F34" w:rsidRPr="00352F05" w:rsidRDefault="00993F34" w:rsidP="00352F05">
            <w:pPr>
              <w:jc w:val="center"/>
              <w:rPr>
                <w:rFonts w:ascii="Arial" w:eastAsia="Times New Roman" w:hAnsi="Arial" w:cs="Arial"/>
                <w:b/>
                <w:bCs/>
                <w:sz w:val="16"/>
                <w:szCs w:val="16"/>
              </w:rPr>
            </w:pPr>
            <w:r w:rsidRPr="00352F05">
              <w:rPr>
                <w:rFonts w:ascii="Arial" w:eastAsia="Times New Roman" w:hAnsi="Arial" w:cs="Arial"/>
                <w:b/>
                <w:bCs/>
                <w:sz w:val="16"/>
                <w:szCs w:val="16"/>
              </w:rPr>
              <w:t>29</w:t>
            </w:r>
          </w:p>
        </w:tc>
        <w:tc>
          <w:tcPr>
            <w:tcW w:w="900" w:type="dxa"/>
            <w:shd w:val="clear" w:color="auto" w:fill="auto"/>
            <w:noWrap/>
            <w:vAlign w:val="center"/>
            <w:hideMark/>
          </w:tcPr>
          <w:p w14:paraId="2F8C8B91" w14:textId="77777777" w:rsidR="00993F34" w:rsidRPr="00352F05" w:rsidRDefault="00993F34" w:rsidP="00352F05">
            <w:pPr>
              <w:jc w:val="center"/>
              <w:rPr>
                <w:rFonts w:ascii="Arial" w:eastAsia="Times New Roman" w:hAnsi="Arial" w:cs="Arial"/>
                <w:b/>
                <w:bCs/>
                <w:sz w:val="16"/>
                <w:szCs w:val="16"/>
              </w:rPr>
            </w:pPr>
            <w:r w:rsidRPr="00352F05">
              <w:rPr>
                <w:rFonts w:ascii="Arial" w:eastAsia="Times New Roman" w:hAnsi="Arial" w:cs="Arial"/>
                <w:b/>
                <w:bCs/>
                <w:sz w:val="16"/>
                <w:szCs w:val="16"/>
              </w:rPr>
              <w:t>122,388</w:t>
            </w:r>
          </w:p>
        </w:tc>
        <w:tc>
          <w:tcPr>
            <w:tcW w:w="810" w:type="dxa"/>
            <w:shd w:val="clear" w:color="auto" w:fill="auto"/>
            <w:noWrap/>
            <w:vAlign w:val="center"/>
            <w:hideMark/>
          </w:tcPr>
          <w:p w14:paraId="3DD30055" w14:textId="77777777" w:rsidR="00993F34" w:rsidRPr="00352F05" w:rsidRDefault="00993F34" w:rsidP="00352F05">
            <w:pPr>
              <w:jc w:val="center"/>
              <w:rPr>
                <w:rFonts w:ascii="Arial" w:eastAsia="Times New Roman" w:hAnsi="Arial" w:cs="Arial"/>
                <w:b/>
                <w:bCs/>
                <w:sz w:val="16"/>
                <w:szCs w:val="16"/>
              </w:rPr>
            </w:pPr>
            <w:r w:rsidRPr="00352F05">
              <w:rPr>
                <w:rFonts w:ascii="Arial" w:eastAsia="Times New Roman" w:hAnsi="Arial" w:cs="Arial"/>
                <w:b/>
                <w:bCs/>
                <w:sz w:val="16"/>
                <w:szCs w:val="16"/>
              </w:rPr>
              <w:t>22,251</w:t>
            </w:r>
          </w:p>
        </w:tc>
        <w:tc>
          <w:tcPr>
            <w:tcW w:w="900" w:type="dxa"/>
            <w:vAlign w:val="center"/>
          </w:tcPr>
          <w:p w14:paraId="62C0A1BB" w14:textId="77777777" w:rsidR="00993F34" w:rsidRPr="00352F05" w:rsidRDefault="00993F34" w:rsidP="00352F05">
            <w:pPr>
              <w:jc w:val="center"/>
              <w:rPr>
                <w:rFonts w:ascii="Arial" w:eastAsia="Times New Roman" w:hAnsi="Arial" w:cs="Arial"/>
                <w:b/>
                <w:bCs/>
                <w:sz w:val="16"/>
                <w:szCs w:val="16"/>
              </w:rPr>
            </w:pPr>
            <w:r w:rsidRPr="00352F05">
              <w:rPr>
                <w:rFonts w:ascii="Arial" w:eastAsia="Times New Roman" w:hAnsi="Arial" w:cs="Arial"/>
                <w:b/>
                <w:bCs/>
                <w:sz w:val="16"/>
                <w:szCs w:val="16"/>
              </w:rPr>
              <w:t>26</w:t>
            </w:r>
          </w:p>
        </w:tc>
        <w:tc>
          <w:tcPr>
            <w:tcW w:w="540" w:type="dxa"/>
            <w:shd w:val="clear" w:color="auto" w:fill="auto"/>
            <w:noWrap/>
            <w:tcMar>
              <w:left w:w="14" w:type="dxa"/>
              <w:right w:w="14" w:type="dxa"/>
            </w:tcMar>
            <w:vAlign w:val="center"/>
            <w:hideMark/>
          </w:tcPr>
          <w:p w14:paraId="13096F82" w14:textId="77777777" w:rsidR="00993F34" w:rsidRPr="00352F05" w:rsidRDefault="00993F34" w:rsidP="00352F05">
            <w:pPr>
              <w:jc w:val="center"/>
              <w:rPr>
                <w:rFonts w:ascii="Arial" w:eastAsia="Times New Roman" w:hAnsi="Arial" w:cs="Arial"/>
                <w:b/>
                <w:bCs/>
                <w:sz w:val="16"/>
                <w:szCs w:val="16"/>
              </w:rPr>
            </w:pPr>
            <w:r w:rsidRPr="00352F05">
              <w:rPr>
                <w:rFonts w:ascii="Arial" w:eastAsia="Times New Roman" w:hAnsi="Arial" w:cs="Arial"/>
                <w:b/>
                <w:bCs/>
                <w:sz w:val="16"/>
                <w:szCs w:val="16"/>
              </w:rPr>
              <w:t>428</w:t>
            </w:r>
          </w:p>
        </w:tc>
        <w:tc>
          <w:tcPr>
            <w:tcW w:w="265" w:type="dxa"/>
            <w:tcBorders>
              <w:right w:val="nil"/>
            </w:tcBorders>
            <w:shd w:val="clear" w:color="auto" w:fill="auto"/>
            <w:noWrap/>
            <w:vAlign w:val="center"/>
            <w:hideMark/>
          </w:tcPr>
          <w:p w14:paraId="6C078945" w14:textId="77777777" w:rsidR="00993F34" w:rsidRPr="00D32176" w:rsidRDefault="00993F34" w:rsidP="00993F34">
            <w:pPr>
              <w:jc w:val="center"/>
              <w:rPr>
                <w:rFonts w:ascii="Arial" w:eastAsia="Times New Roman" w:hAnsi="Arial" w:cs="Arial"/>
                <w:sz w:val="18"/>
                <w:szCs w:val="18"/>
              </w:rPr>
            </w:pPr>
          </w:p>
        </w:tc>
      </w:tr>
    </w:tbl>
    <w:p w14:paraId="2AB99FE9" w14:textId="42FF6F66" w:rsidR="00401B64" w:rsidRDefault="00401B64" w:rsidP="00401B64"/>
    <w:p w14:paraId="4F1E2942" w14:textId="14555666" w:rsidR="00FD0063" w:rsidRDefault="00FD0063" w:rsidP="00401B64"/>
    <w:tbl>
      <w:tblPr>
        <w:tblW w:w="6512" w:type="dxa"/>
        <w:tblInd w:w="108" w:type="dxa"/>
        <w:tblLayout w:type="fixed"/>
        <w:tblLook w:val="04A0" w:firstRow="1" w:lastRow="0" w:firstColumn="1" w:lastColumn="0" w:noHBand="0" w:noVBand="1"/>
      </w:tblPr>
      <w:tblGrid>
        <w:gridCol w:w="2160"/>
        <w:gridCol w:w="720"/>
        <w:gridCol w:w="900"/>
        <w:gridCol w:w="810"/>
        <w:gridCol w:w="810"/>
        <w:gridCol w:w="630"/>
        <w:gridCol w:w="482"/>
      </w:tblGrid>
      <w:tr w:rsidR="00FD0063" w:rsidRPr="00D32176" w14:paraId="5DC2F691" w14:textId="77777777" w:rsidTr="00352F05">
        <w:trPr>
          <w:gridAfter w:val="1"/>
          <w:wAfter w:w="482" w:type="dxa"/>
          <w:trHeight w:val="404"/>
        </w:trPr>
        <w:tc>
          <w:tcPr>
            <w:tcW w:w="2160" w:type="dxa"/>
            <w:vMerge w:val="restart"/>
            <w:tcBorders>
              <w:top w:val="single" w:sz="4" w:space="0" w:color="auto"/>
              <w:left w:val="single" w:sz="4" w:space="0" w:color="auto"/>
              <w:right w:val="single" w:sz="4" w:space="0" w:color="auto"/>
            </w:tcBorders>
            <w:shd w:val="clear" w:color="auto" w:fill="CCCCCC"/>
            <w:noWrap/>
            <w:vAlign w:val="center"/>
          </w:tcPr>
          <w:p w14:paraId="231F99E5" w14:textId="4489FDBF" w:rsidR="00FD0063" w:rsidRPr="00FB148D" w:rsidRDefault="00352F05" w:rsidP="00FD0063">
            <w:pPr>
              <w:jc w:val="center"/>
              <w:rPr>
                <w:rFonts w:ascii="Arial Narrow" w:eastAsia="Times New Roman" w:hAnsi="Arial Narrow" w:cs="Arial"/>
                <w:b/>
                <w:sz w:val="18"/>
                <w:szCs w:val="18"/>
              </w:rPr>
            </w:pPr>
            <w:r>
              <w:rPr>
                <w:rFonts w:ascii="Arial Narrow" w:eastAsia="Times New Roman" w:hAnsi="Arial Narrow" w:cs="Arial"/>
                <w:b/>
                <w:sz w:val="18"/>
                <w:szCs w:val="18"/>
              </w:rPr>
              <w:t>Implementing Agency</w:t>
            </w:r>
          </w:p>
        </w:tc>
        <w:tc>
          <w:tcPr>
            <w:tcW w:w="2430" w:type="dxa"/>
            <w:gridSpan w:val="3"/>
            <w:tcBorders>
              <w:top w:val="single" w:sz="4" w:space="0" w:color="auto"/>
              <w:left w:val="nil"/>
              <w:bottom w:val="single" w:sz="4" w:space="0" w:color="auto"/>
              <w:right w:val="single" w:sz="4" w:space="0" w:color="auto"/>
            </w:tcBorders>
            <w:shd w:val="clear" w:color="auto" w:fill="CCCCCC"/>
            <w:noWrap/>
            <w:tcMar>
              <w:left w:w="14" w:type="dxa"/>
              <w:right w:w="14" w:type="dxa"/>
            </w:tcMar>
            <w:vAlign w:val="center"/>
          </w:tcPr>
          <w:p w14:paraId="0E5FABE1" w14:textId="77777777" w:rsidR="00FD0063" w:rsidRPr="00FB148D" w:rsidRDefault="00FD0063" w:rsidP="00FD0063">
            <w:pPr>
              <w:jc w:val="center"/>
              <w:rPr>
                <w:rFonts w:ascii="Arial Narrow" w:eastAsia="Times New Roman" w:hAnsi="Arial Narrow" w:cs="Arial"/>
                <w:b/>
                <w:sz w:val="18"/>
                <w:szCs w:val="18"/>
              </w:rPr>
            </w:pPr>
            <w:r>
              <w:rPr>
                <w:rFonts w:ascii="Arial Narrow" w:eastAsia="Times New Roman" w:hAnsi="Arial Narrow" w:cs="Arial"/>
                <w:b/>
                <w:sz w:val="18"/>
                <w:szCs w:val="18"/>
              </w:rPr>
              <w:t>TARGET POPULATION</w:t>
            </w:r>
          </w:p>
        </w:tc>
        <w:tc>
          <w:tcPr>
            <w:tcW w:w="1440" w:type="dxa"/>
            <w:gridSpan w:val="2"/>
            <w:tcBorders>
              <w:top w:val="single" w:sz="4" w:space="0" w:color="auto"/>
              <w:left w:val="nil"/>
              <w:bottom w:val="single" w:sz="4" w:space="0" w:color="auto"/>
              <w:right w:val="single" w:sz="4" w:space="0" w:color="auto"/>
            </w:tcBorders>
            <w:shd w:val="clear" w:color="auto" w:fill="CCCCCC"/>
            <w:vAlign w:val="center"/>
          </w:tcPr>
          <w:p w14:paraId="0751875F" w14:textId="29A4DC71" w:rsidR="00FD0063" w:rsidRPr="00FB148D" w:rsidRDefault="004C42CF" w:rsidP="00FD0063">
            <w:pPr>
              <w:jc w:val="center"/>
              <w:rPr>
                <w:rFonts w:ascii="Arial Narrow" w:eastAsia="Times New Roman" w:hAnsi="Arial Narrow" w:cs="Arial"/>
                <w:b/>
                <w:sz w:val="18"/>
                <w:szCs w:val="18"/>
              </w:rPr>
            </w:pPr>
            <w:r>
              <w:rPr>
                <w:noProof/>
                <w:lang w:val="en-US"/>
              </w:rPr>
              <w:drawing>
                <wp:anchor distT="0" distB="0" distL="114300" distR="114300" simplePos="0" relativeHeight="251683840" behindDoc="0" locked="0" layoutInCell="1" allowOverlap="1" wp14:anchorId="550AB667" wp14:editId="6C11F192">
                  <wp:simplePos x="0" y="0"/>
                  <wp:positionH relativeFrom="column">
                    <wp:posOffset>400050</wp:posOffset>
                  </wp:positionH>
                  <wp:positionV relativeFrom="paragraph">
                    <wp:posOffset>-57150</wp:posOffset>
                  </wp:positionV>
                  <wp:extent cx="3200400" cy="2171700"/>
                  <wp:effectExtent l="0" t="0" r="0" b="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FD0063">
              <w:rPr>
                <w:rFonts w:ascii="Arial Narrow" w:eastAsia="Times New Roman" w:hAnsi="Arial Narrow" w:cs="Arial"/>
                <w:b/>
                <w:sz w:val="18"/>
                <w:szCs w:val="18"/>
              </w:rPr>
              <w:t>KAP SURVEYS</w:t>
            </w:r>
          </w:p>
        </w:tc>
      </w:tr>
      <w:tr w:rsidR="00FD0063" w:rsidRPr="00D32176" w14:paraId="6D45FCB2" w14:textId="77777777" w:rsidTr="00352F05">
        <w:trPr>
          <w:gridAfter w:val="1"/>
          <w:wAfter w:w="482" w:type="dxa"/>
          <w:trHeight w:val="431"/>
        </w:trPr>
        <w:tc>
          <w:tcPr>
            <w:tcW w:w="2160" w:type="dxa"/>
            <w:vMerge/>
            <w:tcBorders>
              <w:left w:val="single" w:sz="4" w:space="0" w:color="auto"/>
              <w:bottom w:val="single" w:sz="4" w:space="0" w:color="auto"/>
              <w:right w:val="single" w:sz="4" w:space="0" w:color="auto"/>
            </w:tcBorders>
            <w:shd w:val="clear" w:color="auto" w:fill="CCCCCC"/>
            <w:noWrap/>
            <w:vAlign w:val="center"/>
            <w:hideMark/>
          </w:tcPr>
          <w:p w14:paraId="1B79F537" w14:textId="77777777" w:rsidR="00FD0063" w:rsidRPr="00FB148D" w:rsidRDefault="00FD0063" w:rsidP="00FD0063">
            <w:pPr>
              <w:jc w:val="center"/>
              <w:rPr>
                <w:rFonts w:ascii="Arial Narrow" w:eastAsia="Times New Roman" w:hAnsi="Arial Narrow" w:cs="Arial"/>
                <w:b/>
                <w:sz w:val="18"/>
                <w:szCs w:val="18"/>
              </w:rPr>
            </w:pPr>
          </w:p>
        </w:tc>
        <w:tc>
          <w:tcPr>
            <w:tcW w:w="720" w:type="dxa"/>
            <w:tcBorders>
              <w:top w:val="single" w:sz="4" w:space="0" w:color="auto"/>
              <w:left w:val="nil"/>
              <w:bottom w:val="single" w:sz="4" w:space="0" w:color="auto"/>
            </w:tcBorders>
            <w:shd w:val="clear" w:color="auto" w:fill="CCCCCC"/>
            <w:noWrap/>
            <w:tcMar>
              <w:left w:w="14" w:type="dxa"/>
              <w:right w:w="14" w:type="dxa"/>
            </w:tcMar>
            <w:vAlign w:val="center"/>
            <w:hideMark/>
          </w:tcPr>
          <w:p w14:paraId="30C0FEF8" w14:textId="77777777" w:rsidR="00FD0063" w:rsidRPr="00FD0063" w:rsidRDefault="00FD0063" w:rsidP="00FD0063">
            <w:pPr>
              <w:jc w:val="center"/>
              <w:rPr>
                <w:rFonts w:ascii="Arial Narrow" w:eastAsia="Times New Roman" w:hAnsi="Arial Narrow" w:cs="Arial"/>
                <w:sz w:val="18"/>
                <w:szCs w:val="18"/>
              </w:rPr>
            </w:pPr>
            <w:r w:rsidRPr="00FD0063">
              <w:rPr>
                <w:rFonts w:ascii="Arial Narrow" w:eastAsia="Times New Roman" w:hAnsi="Arial Narrow" w:cs="Arial"/>
                <w:sz w:val="18"/>
                <w:szCs w:val="18"/>
              </w:rPr>
              <w:t>Location</w:t>
            </w:r>
          </w:p>
        </w:tc>
        <w:tc>
          <w:tcPr>
            <w:tcW w:w="900" w:type="dxa"/>
            <w:tcBorders>
              <w:top w:val="single" w:sz="4" w:space="0" w:color="auto"/>
              <w:bottom w:val="single" w:sz="4" w:space="0" w:color="auto"/>
            </w:tcBorders>
            <w:shd w:val="clear" w:color="auto" w:fill="CCCCCC"/>
            <w:noWrap/>
            <w:vAlign w:val="center"/>
            <w:hideMark/>
          </w:tcPr>
          <w:p w14:paraId="77024E93" w14:textId="77777777" w:rsidR="00FD0063" w:rsidRPr="00FD0063" w:rsidRDefault="00FD0063" w:rsidP="00FD0063">
            <w:pPr>
              <w:jc w:val="center"/>
              <w:rPr>
                <w:rFonts w:ascii="Arial Narrow" w:eastAsia="Times New Roman" w:hAnsi="Arial Narrow" w:cs="Arial"/>
                <w:sz w:val="18"/>
                <w:szCs w:val="18"/>
              </w:rPr>
            </w:pPr>
            <w:r w:rsidRPr="00FD0063">
              <w:rPr>
                <w:rFonts w:ascii="Arial Narrow" w:eastAsia="Times New Roman" w:hAnsi="Arial Narrow" w:cs="Arial"/>
                <w:sz w:val="18"/>
                <w:szCs w:val="18"/>
              </w:rPr>
              <w:t>Pop.</w:t>
            </w:r>
          </w:p>
        </w:tc>
        <w:tc>
          <w:tcPr>
            <w:tcW w:w="810" w:type="dxa"/>
            <w:tcBorders>
              <w:top w:val="single" w:sz="4" w:space="0" w:color="auto"/>
              <w:bottom w:val="single" w:sz="4" w:space="0" w:color="auto"/>
              <w:right w:val="single" w:sz="4" w:space="0" w:color="auto"/>
            </w:tcBorders>
            <w:shd w:val="clear" w:color="auto" w:fill="CCCCCC"/>
            <w:noWrap/>
            <w:vAlign w:val="center"/>
            <w:hideMark/>
          </w:tcPr>
          <w:p w14:paraId="2E8D5F7B" w14:textId="77777777" w:rsidR="00FD0063" w:rsidRPr="00FD0063" w:rsidRDefault="00FD0063" w:rsidP="00FD0063">
            <w:pPr>
              <w:jc w:val="center"/>
              <w:rPr>
                <w:rFonts w:ascii="Arial Narrow" w:eastAsia="Times New Roman" w:hAnsi="Arial Narrow" w:cs="Arial"/>
                <w:sz w:val="18"/>
                <w:szCs w:val="18"/>
              </w:rPr>
            </w:pPr>
            <w:r w:rsidRPr="00FD0063">
              <w:rPr>
                <w:rFonts w:ascii="Arial Narrow" w:eastAsia="Times New Roman" w:hAnsi="Arial Narrow" w:cs="Arial"/>
                <w:sz w:val="18"/>
                <w:szCs w:val="18"/>
              </w:rPr>
              <w:t>HH</w:t>
            </w:r>
          </w:p>
        </w:tc>
        <w:tc>
          <w:tcPr>
            <w:tcW w:w="810" w:type="dxa"/>
            <w:tcBorders>
              <w:top w:val="single" w:sz="4" w:space="0" w:color="auto"/>
              <w:left w:val="nil"/>
              <w:bottom w:val="single" w:sz="4" w:space="0" w:color="auto"/>
              <w:right w:val="nil"/>
            </w:tcBorders>
            <w:shd w:val="clear" w:color="auto" w:fill="CCCCCC"/>
            <w:vAlign w:val="center"/>
          </w:tcPr>
          <w:p w14:paraId="0094B1C0" w14:textId="77777777" w:rsidR="00FD0063" w:rsidRPr="00FD0063" w:rsidRDefault="00FD0063" w:rsidP="00FD0063">
            <w:pPr>
              <w:jc w:val="center"/>
              <w:rPr>
                <w:rFonts w:ascii="Arial Narrow" w:eastAsia="Times New Roman" w:hAnsi="Arial Narrow" w:cs="Arial"/>
                <w:sz w:val="18"/>
                <w:szCs w:val="18"/>
              </w:rPr>
            </w:pPr>
            <w:r w:rsidRPr="00FD0063">
              <w:rPr>
                <w:rFonts w:ascii="Arial Narrow" w:eastAsia="Times New Roman" w:hAnsi="Arial Narrow" w:cs="Arial"/>
                <w:sz w:val="18"/>
                <w:szCs w:val="18"/>
              </w:rPr>
              <w:t>Location</w:t>
            </w:r>
          </w:p>
        </w:tc>
        <w:tc>
          <w:tcPr>
            <w:tcW w:w="630" w:type="dxa"/>
            <w:tcBorders>
              <w:top w:val="single" w:sz="4" w:space="0" w:color="auto"/>
              <w:left w:val="nil"/>
              <w:bottom w:val="single" w:sz="4" w:space="0" w:color="auto"/>
              <w:right w:val="single" w:sz="4" w:space="0" w:color="auto"/>
            </w:tcBorders>
            <w:shd w:val="clear" w:color="auto" w:fill="CCCCCC"/>
            <w:vAlign w:val="center"/>
            <w:hideMark/>
          </w:tcPr>
          <w:p w14:paraId="6373D1D6" w14:textId="77777777" w:rsidR="00FD0063" w:rsidRPr="00FD0063" w:rsidRDefault="00FD0063" w:rsidP="00AC6CBD">
            <w:pPr>
              <w:jc w:val="center"/>
              <w:rPr>
                <w:rFonts w:ascii="Arial Narrow" w:eastAsia="Times New Roman" w:hAnsi="Arial Narrow" w:cs="Arial"/>
                <w:sz w:val="18"/>
                <w:szCs w:val="18"/>
              </w:rPr>
            </w:pPr>
            <w:r w:rsidRPr="00FD0063">
              <w:rPr>
                <w:rFonts w:ascii="Arial Narrow" w:eastAsia="Times New Roman" w:hAnsi="Arial Narrow" w:cs="Arial"/>
                <w:sz w:val="18"/>
                <w:szCs w:val="18"/>
              </w:rPr>
              <w:t>HH</w:t>
            </w:r>
          </w:p>
        </w:tc>
      </w:tr>
      <w:tr w:rsidR="00AC6CBD" w:rsidRPr="00D32176" w14:paraId="6E32D6D4" w14:textId="77777777" w:rsidTr="00352F05">
        <w:trPr>
          <w:gridAfter w:val="1"/>
          <w:wAfter w:w="482" w:type="dxa"/>
          <w:trHeight w:val="360"/>
        </w:trPr>
        <w:tc>
          <w:tcPr>
            <w:tcW w:w="2160" w:type="dxa"/>
            <w:tcBorders>
              <w:top w:val="single" w:sz="4" w:space="0" w:color="auto"/>
              <w:left w:val="single" w:sz="4" w:space="0" w:color="auto"/>
              <w:right w:val="single" w:sz="4" w:space="0" w:color="auto"/>
            </w:tcBorders>
            <w:shd w:val="clear" w:color="auto" w:fill="auto"/>
            <w:noWrap/>
            <w:vAlign w:val="center"/>
          </w:tcPr>
          <w:p w14:paraId="67CE0936" w14:textId="71B6C022" w:rsidR="00AC6CBD" w:rsidRPr="00352F05" w:rsidRDefault="00AC6CBD" w:rsidP="00FD0063">
            <w:pPr>
              <w:jc w:val="right"/>
              <w:rPr>
                <w:rFonts w:ascii="Arial" w:eastAsia="Times New Roman" w:hAnsi="Arial" w:cs="Arial"/>
                <w:sz w:val="16"/>
                <w:szCs w:val="16"/>
              </w:rPr>
            </w:pPr>
            <w:r w:rsidRPr="00352F05">
              <w:rPr>
                <w:rFonts w:ascii="Arial" w:eastAsia="Times New Roman" w:hAnsi="Arial" w:cs="Arial"/>
                <w:sz w:val="16"/>
                <w:szCs w:val="16"/>
              </w:rPr>
              <w:t>Save the Children</w:t>
            </w:r>
          </w:p>
        </w:tc>
        <w:tc>
          <w:tcPr>
            <w:tcW w:w="720" w:type="dxa"/>
            <w:tcBorders>
              <w:top w:val="single" w:sz="4" w:space="0" w:color="auto"/>
              <w:left w:val="nil"/>
            </w:tcBorders>
            <w:shd w:val="clear" w:color="auto" w:fill="auto"/>
            <w:noWrap/>
            <w:tcMar>
              <w:left w:w="14" w:type="dxa"/>
              <w:right w:w="14" w:type="dxa"/>
            </w:tcMar>
            <w:vAlign w:val="center"/>
          </w:tcPr>
          <w:p w14:paraId="66443A0D" w14:textId="51E96FC3" w:rsidR="00AC6CBD" w:rsidRPr="00352F05" w:rsidRDefault="00AC6CBD" w:rsidP="006A37FE">
            <w:pPr>
              <w:jc w:val="center"/>
              <w:rPr>
                <w:rFonts w:ascii="Arial" w:eastAsia="Times New Roman" w:hAnsi="Arial" w:cs="Arial"/>
                <w:sz w:val="16"/>
                <w:szCs w:val="16"/>
              </w:rPr>
            </w:pPr>
            <w:r w:rsidRPr="00352F05">
              <w:rPr>
                <w:rFonts w:ascii="Arial" w:eastAsia="Times New Roman" w:hAnsi="Arial" w:cs="Arial"/>
                <w:sz w:val="16"/>
                <w:szCs w:val="16"/>
              </w:rPr>
              <w:t>6</w:t>
            </w:r>
          </w:p>
        </w:tc>
        <w:tc>
          <w:tcPr>
            <w:tcW w:w="900" w:type="dxa"/>
            <w:tcBorders>
              <w:top w:val="single" w:sz="4" w:space="0" w:color="auto"/>
            </w:tcBorders>
            <w:shd w:val="clear" w:color="auto" w:fill="auto"/>
            <w:noWrap/>
            <w:vAlign w:val="center"/>
          </w:tcPr>
          <w:p w14:paraId="6273F1F7" w14:textId="69EC6512" w:rsidR="00AC6CBD" w:rsidRPr="00352F05" w:rsidRDefault="00AC6CBD" w:rsidP="006A37FE">
            <w:pPr>
              <w:jc w:val="center"/>
              <w:rPr>
                <w:rFonts w:ascii="Arial" w:eastAsia="Times New Roman" w:hAnsi="Arial" w:cs="Arial"/>
                <w:sz w:val="16"/>
                <w:szCs w:val="16"/>
              </w:rPr>
            </w:pPr>
            <w:r w:rsidRPr="00352F05">
              <w:rPr>
                <w:rFonts w:ascii="Arial" w:eastAsia="Times New Roman" w:hAnsi="Arial" w:cs="Arial"/>
                <w:sz w:val="16"/>
                <w:szCs w:val="16"/>
              </w:rPr>
              <w:t xml:space="preserve">39,902 </w:t>
            </w:r>
          </w:p>
        </w:tc>
        <w:tc>
          <w:tcPr>
            <w:tcW w:w="810" w:type="dxa"/>
            <w:tcBorders>
              <w:top w:val="single" w:sz="4" w:space="0" w:color="auto"/>
              <w:right w:val="single" w:sz="4" w:space="0" w:color="auto"/>
            </w:tcBorders>
            <w:shd w:val="clear" w:color="auto" w:fill="auto"/>
            <w:noWrap/>
            <w:vAlign w:val="center"/>
          </w:tcPr>
          <w:p w14:paraId="15168A7E" w14:textId="2CEE5C1A" w:rsidR="00AC6CBD" w:rsidRPr="00352F05" w:rsidRDefault="00AC6CBD" w:rsidP="006A37FE">
            <w:pPr>
              <w:jc w:val="center"/>
              <w:rPr>
                <w:rFonts w:ascii="Arial" w:eastAsia="Times New Roman" w:hAnsi="Arial" w:cs="Arial"/>
                <w:sz w:val="16"/>
                <w:szCs w:val="16"/>
              </w:rPr>
            </w:pPr>
            <w:r w:rsidRPr="00352F05">
              <w:rPr>
                <w:rFonts w:ascii="Arial" w:eastAsia="Times New Roman" w:hAnsi="Arial" w:cs="Arial"/>
                <w:sz w:val="16"/>
                <w:szCs w:val="16"/>
              </w:rPr>
              <w:t xml:space="preserve">7,255 </w:t>
            </w:r>
          </w:p>
        </w:tc>
        <w:tc>
          <w:tcPr>
            <w:tcW w:w="810" w:type="dxa"/>
            <w:tcBorders>
              <w:top w:val="single" w:sz="4" w:space="0" w:color="auto"/>
              <w:left w:val="nil"/>
            </w:tcBorders>
            <w:shd w:val="clear" w:color="auto" w:fill="auto"/>
            <w:vAlign w:val="center"/>
          </w:tcPr>
          <w:p w14:paraId="1CCBBD9F" w14:textId="404EC9EA" w:rsidR="00AC6CBD" w:rsidRPr="00352F05" w:rsidRDefault="00AC6CBD" w:rsidP="006A37FE">
            <w:pPr>
              <w:jc w:val="center"/>
              <w:rPr>
                <w:rFonts w:ascii="Arial" w:eastAsia="Times New Roman" w:hAnsi="Arial" w:cs="Arial"/>
                <w:bCs/>
                <w:sz w:val="16"/>
                <w:szCs w:val="16"/>
              </w:rPr>
            </w:pPr>
            <w:r w:rsidRPr="00352F05">
              <w:rPr>
                <w:rFonts w:ascii="Arial" w:eastAsia="Times New Roman" w:hAnsi="Arial" w:cs="Arial"/>
                <w:bCs/>
                <w:sz w:val="16"/>
                <w:szCs w:val="16"/>
              </w:rPr>
              <w:t>6</w:t>
            </w:r>
          </w:p>
        </w:tc>
        <w:tc>
          <w:tcPr>
            <w:tcW w:w="630" w:type="dxa"/>
            <w:tcBorders>
              <w:top w:val="single" w:sz="4" w:space="0" w:color="auto"/>
              <w:right w:val="single" w:sz="4" w:space="0" w:color="auto"/>
            </w:tcBorders>
            <w:shd w:val="clear" w:color="auto" w:fill="auto"/>
            <w:noWrap/>
            <w:vAlign w:val="center"/>
          </w:tcPr>
          <w:p w14:paraId="4F3638EE" w14:textId="68522D9C" w:rsidR="00AC6CBD" w:rsidRPr="00352F05" w:rsidRDefault="00AC6CBD" w:rsidP="006A37FE">
            <w:pPr>
              <w:jc w:val="center"/>
              <w:rPr>
                <w:rFonts w:ascii="Arial" w:eastAsia="Times New Roman" w:hAnsi="Arial" w:cs="Arial"/>
                <w:b/>
                <w:bCs/>
                <w:sz w:val="16"/>
                <w:szCs w:val="16"/>
              </w:rPr>
            </w:pPr>
            <w:r w:rsidRPr="00352F05">
              <w:rPr>
                <w:rFonts w:ascii="Arial" w:eastAsia="Times New Roman" w:hAnsi="Arial" w:cs="Arial"/>
                <w:sz w:val="16"/>
                <w:szCs w:val="16"/>
              </w:rPr>
              <w:t xml:space="preserve">138 </w:t>
            </w:r>
          </w:p>
        </w:tc>
      </w:tr>
      <w:tr w:rsidR="00AC6CBD" w:rsidRPr="00D32176" w14:paraId="60CC6B98" w14:textId="77777777" w:rsidTr="00352F05">
        <w:trPr>
          <w:gridAfter w:val="1"/>
          <w:wAfter w:w="482" w:type="dxa"/>
          <w:trHeight w:val="360"/>
        </w:trPr>
        <w:tc>
          <w:tcPr>
            <w:tcW w:w="2160" w:type="dxa"/>
            <w:tcBorders>
              <w:left w:val="single" w:sz="4" w:space="0" w:color="auto"/>
              <w:right w:val="single" w:sz="4" w:space="0" w:color="auto"/>
            </w:tcBorders>
            <w:shd w:val="clear" w:color="auto" w:fill="auto"/>
            <w:noWrap/>
            <w:vAlign w:val="center"/>
          </w:tcPr>
          <w:p w14:paraId="2F687116" w14:textId="05EEDCE1" w:rsidR="00AC6CBD" w:rsidRPr="00352F05" w:rsidRDefault="00AC6CBD" w:rsidP="00FD0063">
            <w:pPr>
              <w:jc w:val="right"/>
              <w:rPr>
                <w:rFonts w:ascii="Arial" w:eastAsia="Times New Roman" w:hAnsi="Arial" w:cs="Arial"/>
                <w:sz w:val="16"/>
                <w:szCs w:val="16"/>
              </w:rPr>
            </w:pPr>
            <w:r w:rsidRPr="00352F05">
              <w:rPr>
                <w:rFonts w:ascii="Arial" w:eastAsia="Times New Roman" w:hAnsi="Arial" w:cs="Arial"/>
                <w:sz w:val="16"/>
                <w:szCs w:val="16"/>
              </w:rPr>
              <w:t>Oxfam GB</w:t>
            </w:r>
          </w:p>
        </w:tc>
        <w:tc>
          <w:tcPr>
            <w:tcW w:w="720" w:type="dxa"/>
            <w:tcBorders>
              <w:left w:val="nil"/>
            </w:tcBorders>
            <w:shd w:val="clear" w:color="auto" w:fill="auto"/>
            <w:noWrap/>
            <w:tcMar>
              <w:left w:w="14" w:type="dxa"/>
              <w:right w:w="14" w:type="dxa"/>
            </w:tcMar>
            <w:vAlign w:val="center"/>
          </w:tcPr>
          <w:p w14:paraId="54C72C63" w14:textId="60C05B66" w:rsidR="00AC6CBD" w:rsidRPr="00352F05" w:rsidRDefault="00AC6CBD" w:rsidP="006A37FE">
            <w:pPr>
              <w:jc w:val="center"/>
              <w:rPr>
                <w:rFonts w:ascii="Arial" w:eastAsia="Times New Roman" w:hAnsi="Arial" w:cs="Arial"/>
                <w:sz w:val="16"/>
                <w:szCs w:val="16"/>
              </w:rPr>
            </w:pPr>
            <w:r w:rsidRPr="00352F05">
              <w:rPr>
                <w:rFonts w:ascii="Arial" w:eastAsia="Times New Roman" w:hAnsi="Arial" w:cs="Arial"/>
                <w:sz w:val="16"/>
                <w:szCs w:val="16"/>
              </w:rPr>
              <w:t>7</w:t>
            </w:r>
          </w:p>
        </w:tc>
        <w:tc>
          <w:tcPr>
            <w:tcW w:w="900" w:type="dxa"/>
            <w:shd w:val="clear" w:color="auto" w:fill="auto"/>
            <w:noWrap/>
            <w:vAlign w:val="center"/>
          </w:tcPr>
          <w:p w14:paraId="77FEB22B" w14:textId="4F500EE3" w:rsidR="00AC6CBD" w:rsidRPr="00352F05" w:rsidRDefault="00AC6CBD" w:rsidP="006A37FE">
            <w:pPr>
              <w:jc w:val="center"/>
              <w:rPr>
                <w:rFonts w:ascii="Arial" w:eastAsia="Times New Roman" w:hAnsi="Arial" w:cs="Arial"/>
                <w:sz w:val="16"/>
                <w:szCs w:val="16"/>
              </w:rPr>
            </w:pPr>
            <w:r w:rsidRPr="00352F05">
              <w:rPr>
                <w:rFonts w:ascii="Arial" w:eastAsia="Times New Roman" w:hAnsi="Arial" w:cs="Arial"/>
                <w:sz w:val="16"/>
                <w:szCs w:val="16"/>
              </w:rPr>
              <w:t xml:space="preserve">21,666 </w:t>
            </w:r>
          </w:p>
        </w:tc>
        <w:tc>
          <w:tcPr>
            <w:tcW w:w="810" w:type="dxa"/>
            <w:tcBorders>
              <w:right w:val="single" w:sz="4" w:space="0" w:color="auto"/>
            </w:tcBorders>
            <w:shd w:val="clear" w:color="auto" w:fill="auto"/>
            <w:noWrap/>
            <w:vAlign w:val="center"/>
          </w:tcPr>
          <w:p w14:paraId="01062485" w14:textId="4D57F235" w:rsidR="00AC6CBD" w:rsidRPr="00352F05" w:rsidRDefault="00AC6CBD" w:rsidP="006A37FE">
            <w:pPr>
              <w:jc w:val="center"/>
              <w:rPr>
                <w:rFonts w:ascii="Arial" w:eastAsia="Times New Roman" w:hAnsi="Arial" w:cs="Arial"/>
                <w:sz w:val="16"/>
                <w:szCs w:val="16"/>
              </w:rPr>
            </w:pPr>
            <w:r w:rsidRPr="00352F05">
              <w:rPr>
                <w:rFonts w:ascii="Arial" w:eastAsia="Times New Roman" w:hAnsi="Arial" w:cs="Arial"/>
                <w:sz w:val="16"/>
                <w:szCs w:val="16"/>
              </w:rPr>
              <w:t xml:space="preserve">3,939 </w:t>
            </w:r>
          </w:p>
        </w:tc>
        <w:tc>
          <w:tcPr>
            <w:tcW w:w="810" w:type="dxa"/>
            <w:tcBorders>
              <w:left w:val="nil"/>
            </w:tcBorders>
            <w:shd w:val="clear" w:color="auto" w:fill="auto"/>
            <w:vAlign w:val="center"/>
          </w:tcPr>
          <w:p w14:paraId="63B3B065" w14:textId="4E7F44A0" w:rsidR="00AC6CBD" w:rsidRPr="00352F05" w:rsidRDefault="00AC6CBD" w:rsidP="006A37FE">
            <w:pPr>
              <w:jc w:val="center"/>
              <w:rPr>
                <w:rFonts w:ascii="Arial" w:eastAsia="Times New Roman" w:hAnsi="Arial" w:cs="Arial"/>
                <w:bCs/>
                <w:sz w:val="16"/>
                <w:szCs w:val="16"/>
              </w:rPr>
            </w:pPr>
            <w:r w:rsidRPr="00352F05">
              <w:rPr>
                <w:rFonts w:ascii="Arial" w:eastAsia="Times New Roman" w:hAnsi="Arial" w:cs="Arial"/>
                <w:bCs/>
                <w:sz w:val="16"/>
                <w:szCs w:val="16"/>
              </w:rPr>
              <w:t>5</w:t>
            </w:r>
          </w:p>
        </w:tc>
        <w:tc>
          <w:tcPr>
            <w:tcW w:w="630" w:type="dxa"/>
            <w:tcBorders>
              <w:right w:val="single" w:sz="4" w:space="0" w:color="auto"/>
            </w:tcBorders>
            <w:shd w:val="clear" w:color="auto" w:fill="auto"/>
            <w:noWrap/>
            <w:vAlign w:val="center"/>
          </w:tcPr>
          <w:p w14:paraId="7F8307BA" w14:textId="33ACAF4F" w:rsidR="00AC6CBD" w:rsidRPr="00352F05" w:rsidRDefault="00AC6CBD" w:rsidP="006A37FE">
            <w:pPr>
              <w:jc w:val="center"/>
              <w:rPr>
                <w:rFonts w:ascii="Arial" w:eastAsia="Times New Roman" w:hAnsi="Arial" w:cs="Arial"/>
                <w:b/>
                <w:bCs/>
                <w:sz w:val="16"/>
                <w:szCs w:val="16"/>
              </w:rPr>
            </w:pPr>
            <w:r w:rsidRPr="00352F05">
              <w:rPr>
                <w:rFonts w:ascii="Arial" w:eastAsia="Times New Roman" w:hAnsi="Arial" w:cs="Arial"/>
                <w:sz w:val="16"/>
                <w:szCs w:val="16"/>
              </w:rPr>
              <w:t xml:space="preserve">74 </w:t>
            </w:r>
          </w:p>
        </w:tc>
      </w:tr>
      <w:tr w:rsidR="00AC6CBD" w:rsidRPr="00D32176" w14:paraId="31519C1B" w14:textId="77777777" w:rsidTr="00352F05">
        <w:trPr>
          <w:gridAfter w:val="1"/>
          <w:wAfter w:w="482" w:type="dxa"/>
          <w:trHeight w:val="360"/>
        </w:trPr>
        <w:tc>
          <w:tcPr>
            <w:tcW w:w="2160" w:type="dxa"/>
            <w:tcBorders>
              <w:left w:val="single" w:sz="4" w:space="0" w:color="auto"/>
              <w:right w:val="single" w:sz="4" w:space="0" w:color="auto"/>
            </w:tcBorders>
            <w:shd w:val="clear" w:color="auto" w:fill="auto"/>
            <w:noWrap/>
            <w:vAlign w:val="center"/>
          </w:tcPr>
          <w:p w14:paraId="30FC2AEE" w14:textId="52191D18" w:rsidR="00AC6CBD" w:rsidRPr="00352F05" w:rsidRDefault="00AC6CBD" w:rsidP="00FD0063">
            <w:pPr>
              <w:jc w:val="right"/>
              <w:rPr>
                <w:rFonts w:ascii="Arial" w:eastAsia="Times New Roman" w:hAnsi="Arial" w:cs="Arial"/>
                <w:sz w:val="16"/>
                <w:szCs w:val="16"/>
              </w:rPr>
            </w:pPr>
            <w:r w:rsidRPr="00352F05">
              <w:rPr>
                <w:rFonts w:asciiTheme="majorHAnsi" w:hAnsiTheme="majorHAnsi"/>
                <w:sz w:val="16"/>
                <w:szCs w:val="16"/>
              </w:rPr>
              <w:t>Action Contre la Faim</w:t>
            </w:r>
          </w:p>
        </w:tc>
        <w:tc>
          <w:tcPr>
            <w:tcW w:w="720" w:type="dxa"/>
            <w:tcBorders>
              <w:left w:val="nil"/>
            </w:tcBorders>
            <w:shd w:val="clear" w:color="auto" w:fill="auto"/>
            <w:noWrap/>
            <w:tcMar>
              <w:left w:w="14" w:type="dxa"/>
              <w:right w:w="14" w:type="dxa"/>
            </w:tcMar>
            <w:vAlign w:val="center"/>
          </w:tcPr>
          <w:p w14:paraId="5507C673" w14:textId="3B8C0BC4" w:rsidR="00AC6CBD" w:rsidRPr="00352F05" w:rsidRDefault="00AC6CBD" w:rsidP="006A37FE">
            <w:pPr>
              <w:jc w:val="center"/>
              <w:rPr>
                <w:rFonts w:ascii="Arial" w:eastAsia="Times New Roman" w:hAnsi="Arial" w:cs="Arial"/>
                <w:sz w:val="16"/>
                <w:szCs w:val="16"/>
              </w:rPr>
            </w:pPr>
            <w:r w:rsidRPr="00352F05">
              <w:rPr>
                <w:rFonts w:ascii="Arial" w:eastAsia="Times New Roman" w:hAnsi="Arial" w:cs="Arial"/>
                <w:sz w:val="16"/>
                <w:szCs w:val="16"/>
              </w:rPr>
              <w:t>8</w:t>
            </w:r>
          </w:p>
        </w:tc>
        <w:tc>
          <w:tcPr>
            <w:tcW w:w="900" w:type="dxa"/>
            <w:shd w:val="clear" w:color="auto" w:fill="auto"/>
            <w:noWrap/>
            <w:vAlign w:val="center"/>
          </w:tcPr>
          <w:p w14:paraId="26550963" w14:textId="41F3A9A1" w:rsidR="00AC6CBD" w:rsidRPr="00352F05" w:rsidRDefault="00AC6CBD" w:rsidP="006A37FE">
            <w:pPr>
              <w:jc w:val="center"/>
              <w:rPr>
                <w:rFonts w:ascii="Arial" w:eastAsia="Times New Roman" w:hAnsi="Arial" w:cs="Arial"/>
                <w:sz w:val="16"/>
                <w:szCs w:val="16"/>
              </w:rPr>
            </w:pPr>
            <w:r w:rsidRPr="00352F05">
              <w:rPr>
                <w:rFonts w:ascii="Arial" w:eastAsia="Times New Roman" w:hAnsi="Arial" w:cs="Arial"/>
                <w:sz w:val="16"/>
                <w:szCs w:val="16"/>
              </w:rPr>
              <w:t xml:space="preserve">8,687 </w:t>
            </w:r>
          </w:p>
        </w:tc>
        <w:tc>
          <w:tcPr>
            <w:tcW w:w="810" w:type="dxa"/>
            <w:tcBorders>
              <w:right w:val="single" w:sz="4" w:space="0" w:color="auto"/>
            </w:tcBorders>
            <w:shd w:val="clear" w:color="auto" w:fill="auto"/>
            <w:noWrap/>
            <w:vAlign w:val="center"/>
          </w:tcPr>
          <w:p w14:paraId="2755EC1D" w14:textId="3BBF5F2E" w:rsidR="00AC6CBD" w:rsidRPr="00352F05" w:rsidRDefault="00AC6CBD" w:rsidP="006A37FE">
            <w:pPr>
              <w:jc w:val="center"/>
              <w:rPr>
                <w:rFonts w:ascii="Arial" w:eastAsia="Times New Roman" w:hAnsi="Arial" w:cs="Arial"/>
                <w:sz w:val="16"/>
                <w:szCs w:val="16"/>
              </w:rPr>
            </w:pPr>
            <w:r w:rsidRPr="00352F05">
              <w:rPr>
                <w:rFonts w:ascii="Arial" w:eastAsia="Times New Roman" w:hAnsi="Arial" w:cs="Arial"/>
                <w:sz w:val="16"/>
                <w:szCs w:val="16"/>
              </w:rPr>
              <w:t xml:space="preserve">1,578 </w:t>
            </w:r>
          </w:p>
        </w:tc>
        <w:tc>
          <w:tcPr>
            <w:tcW w:w="810" w:type="dxa"/>
            <w:tcBorders>
              <w:left w:val="nil"/>
            </w:tcBorders>
            <w:shd w:val="clear" w:color="auto" w:fill="auto"/>
            <w:vAlign w:val="center"/>
          </w:tcPr>
          <w:p w14:paraId="264FE383" w14:textId="03788F89" w:rsidR="00AC6CBD" w:rsidRPr="00352F05" w:rsidRDefault="00AC6CBD" w:rsidP="006A37FE">
            <w:pPr>
              <w:jc w:val="center"/>
              <w:rPr>
                <w:rFonts w:ascii="Arial" w:eastAsia="Times New Roman" w:hAnsi="Arial" w:cs="Arial"/>
                <w:bCs/>
                <w:sz w:val="16"/>
                <w:szCs w:val="16"/>
              </w:rPr>
            </w:pPr>
            <w:r w:rsidRPr="00352F05">
              <w:rPr>
                <w:rFonts w:ascii="Arial" w:eastAsia="Times New Roman" w:hAnsi="Arial" w:cs="Arial"/>
                <w:bCs/>
                <w:sz w:val="16"/>
                <w:szCs w:val="16"/>
              </w:rPr>
              <w:t>7</w:t>
            </w:r>
          </w:p>
        </w:tc>
        <w:tc>
          <w:tcPr>
            <w:tcW w:w="630" w:type="dxa"/>
            <w:tcBorders>
              <w:right w:val="single" w:sz="4" w:space="0" w:color="auto"/>
            </w:tcBorders>
            <w:shd w:val="clear" w:color="auto" w:fill="auto"/>
            <w:noWrap/>
            <w:vAlign w:val="center"/>
          </w:tcPr>
          <w:p w14:paraId="61D7DD4C" w14:textId="02CE4A49" w:rsidR="00AC6CBD" w:rsidRPr="00352F05" w:rsidRDefault="00AC6CBD" w:rsidP="006A37FE">
            <w:pPr>
              <w:jc w:val="center"/>
              <w:rPr>
                <w:rFonts w:ascii="Arial" w:eastAsia="Times New Roman" w:hAnsi="Arial" w:cs="Arial"/>
                <w:b/>
                <w:bCs/>
                <w:sz w:val="16"/>
                <w:szCs w:val="16"/>
              </w:rPr>
            </w:pPr>
            <w:r w:rsidRPr="00352F05">
              <w:rPr>
                <w:rFonts w:ascii="Arial" w:eastAsia="Times New Roman" w:hAnsi="Arial" w:cs="Arial"/>
                <w:sz w:val="16"/>
                <w:szCs w:val="16"/>
              </w:rPr>
              <w:t xml:space="preserve">31 </w:t>
            </w:r>
          </w:p>
        </w:tc>
      </w:tr>
      <w:tr w:rsidR="00AC6CBD" w:rsidRPr="00D32176" w14:paraId="6F52C87C" w14:textId="77777777" w:rsidTr="00352F05">
        <w:trPr>
          <w:gridAfter w:val="1"/>
          <w:wAfter w:w="482" w:type="dxa"/>
          <w:trHeight w:val="360"/>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22DE7613" w14:textId="287E039D" w:rsidR="00AC6CBD" w:rsidRPr="00352F05" w:rsidRDefault="00AC6CBD" w:rsidP="00FD0063">
            <w:pPr>
              <w:jc w:val="right"/>
              <w:rPr>
                <w:rFonts w:ascii="Arial" w:eastAsia="Times New Roman" w:hAnsi="Arial" w:cs="Arial"/>
                <w:sz w:val="16"/>
                <w:szCs w:val="16"/>
              </w:rPr>
            </w:pPr>
            <w:r w:rsidRPr="00352F05">
              <w:rPr>
                <w:rFonts w:ascii="Arial" w:eastAsia="Times New Roman" w:hAnsi="Arial" w:cs="Arial"/>
                <w:sz w:val="16"/>
                <w:szCs w:val="16"/>
              </w:rPr>
              <w:t>Solidarites International</w:t>
            </w:r>
          </w:p>
        </w:tc>
        <w:tc>
          <w:tcPr>
            <w:tcW w:w="720" w:type="dxa"/>
            <w:tcBorders>
              <w:top w:val="nil"/>
              <w:left w:val="nil"/>
              <w:bottom w:val="single" w:sz="4" w:space="0" w:color="auto"/>
            </w:tcBorders>
            <w:shd w:val="clear" w:color="auto" w:fill="auto"/>
            <w:noWrap/>
            <w:tcMar>
              <w:left w:w="14" w:type="dxa"/>
              <w:right w:w="14" w:type="dxa"/>
            </w:tcMar>
            <w:vAlign w:val="center"/>
          </w:tcPr>
          <w:p w14:paraId="4B648E91" w14:textId="03717FE8" w:rsidR="00AC6CBD" w:rsidRPr="00352F05" w:rsidRDefault="00AC6CBD" w:rsidP="00AC6CBD">
            <w:pPr>
              <w:jc w:val="center"/>
              <w:rPr>
                <w:rFonts w:ascii="Arial" w:eastAsia="Times New Roman" w:hAnsi="Arial" w:cs="Arial"/>
                <w:sz w:val="16"/>
                <w:szCs w:val="16"/>
              </w:rPr>
            </w:pPr>
            <w:r w:rsidRPr="00352F05">
              <w:rPr>
                <w:rFonts w:ascii="Arial" w:eastAsia="Times New Roman" w:hAnsi="Arial" w:cs="Arial"/>
                <w:sz w:val="16"/>
                <w:szCs w:val="16"/>
              </w:rPr>
              <w:t>8</w:t>
            </w:r>
          </w:p>
        </w:tc>
        <w:tc>
          <w:tcPr>
            <w:tcW w:w="900" w:type="dxa"/>
            <w:tcBorders>
              <w:top w:val="nil"/>
              <w:bottom w:val="single" w:sz="4" w:space="0" w:color="auto"/>
            </w:tcBorders>
            <w:shd w:val="clear" w:color="auto" w:fill="auto"/>
            <w:noWrap/>
            <w:vAlign w:val="center"/>
          </w:tcPr>
          <w:p w14:paraId="6BBE3E72" w14:textId="2C5BB064" w:rsidR="00AC6CBD" w:rsidRPr="00352F05" w:rsidRDefault="00AC6CBD" w:rsidP="00AC6CBD">
            <w:pPr>
              <w:jc w:val="center"/>
              <w:rPr>
                <w:rFonts w:ascii="Arial" w:eastAsia="Times New Roman" w:hAnsi="Arial" w:cs="Arial"/>
                <w:sz w:val="16"/>
                <w:szCs w:val="16"/>
              </w:rPr>
            </w:pPr>
            <w:r w:rsidRPr="00352F05">
              <w:rPr>
                <w:rFonts w:ascii="Arial" w:eastAsia="Times New Roman" w:hAnsi="Arial" w:cs="Arial"/>
                <w:sz w:val="16"/>
                <w:szCs w:val="16"/>
              </w:rPr>
              <w:t>54,488</w:t>
            </w:r>
          </w:p>
        </w:tc>
        <w:tc>
          <w:tcPr>
            <w:tcW w:w="810" w:type="dxa"/>
            <w:tcBorders>
              <w:top w:val="nil"/>
              <w:bottom w:val="single" w:sz="4" w:space="0" w:color="auto"/>
              <w:right w:val="single" w:sz="4" w:space="0" w:color="auto"/>
            </w:tcBorders>
            <w:shd w:val="clear" w:color="auto" w:fill="auto"/>
            <w:noWrap/>
            <w:vAlign w:val="center"/>
          </w:tcPr>
          <w:p w14:paraId="7C6E7939" w14:textId="548AA68C" w:rsidR="00AC6CBD" w:rsidRPr="00352F05" w:rsidRDefault="00AC6CBD" w:rsidP="00AC6CBD">
            <w:pPr>
              <w:jc w:val="center"/>
              <w:rPr>
                <w:rFonts w:ascii="Arial" w:eastAsia="Times New Roman" w:hAnsi="Arial" w:cs="Arial"/>
                <w:sz w:val="16"/>
                <w:szCs w:val="16"/>
              </w:rPr>
            </w:pPr>
            <w:r w:rsidRPr="00352F05">
              <w:rPr>
                <w:rFonts w:ascii="Arial" w:eastAsia="Times New Roman" w:hAnsi="Arial" w:cs="Arial"/>
                <w:sz w:val="16"/>
                <w:szCs w:val="16"/>
              </w:rPr>
              <w:t>9,907</w:t>
            </w:r>
          </w:p>
        </w:tc>
        <w:tc>
          <w:tcPr>
            <w:tcW w:w="810" w:type="dxa"/>
            <w:tcBorders>
              <w:left w:val="nil"/>
              <w:bottom w:val="single" w:sz="4" w:space="0" w:color="auto"/>
            </w:tcBorders>
            <w:shd w:val="clear" w:color="auto" w:fill="auto"/>
            <w:vAlign w:val="center"/>
          </w:tcPr>
          <w:p w14:paraId="352D696F" w14:textId="49059E39" w:rsidR="00AC6CBD" w:rsidRPr="00352F05" w:rsidRDefault="00AC6CBD" w:rsidP="006A37FE">
            <w:pPr>
              <w:jc w:val="center"/>
              <w:rPr>
                <w:rFonts w:ascii="Arial" w:eastAsia="Times New Roman" w:hAnsi="Arial" w:cs="Arial"/>
                <w:bCs/>
                <w:sz w:val="16"/>
                <w:szCs w:val="16"/>
              </w:rPr>
            </w:pPr>
            <w:r w:rsidRPr="00352F05">
              <w:rPr>
                <w:rFonts w:ascii="Arial" w:eastAsia="Times New Roman" w:hAnsi="Arial" w:cs="Arial"/>
                <w:bCs/>
                <w:sz w:val="16"/>
                <w:szCs w:val="16"/>
              </w:rPr>
              <w:t>8</w:t>
            </w:r>
          </w:p>
        </w:tc>
        <w:tc>
          <w:tcPr>
            <w:tcW w:w="630" w:type="dxa"/>
            <w:tcBorders>
              <w:bottom w:val="single" w:sz="4" w:space="0" w:color="auto"/>
              <w:right w:val="single" w:sz="4" w:space="0" w:color="auto"/>
            </w:tcBorders>
            <w:shd w:val="clear" w:color="auto" w:fill="auto"/>
            <w:noWrap/>
            <w:vAlign w:val="center"/>
          </w:tcPr>
          <w:p w14:paraId="2A328631" w14:textId="3F048B2A" w:rsidR="00AC6CBD" w:rsidRPr="00352F05" w:rsidRDefault="00AC6CBD" w:rsidP="006A37FE">
            <w:pPr>
              <w:jc w:val="center"/>
              <w:rPr>
                <w:rFonts w:ascii="Arial" w:eastAsia="Times New Roman" w:hAnsi="Arial" w:cs="Arial"/>
                <w:b/>
                <w:bCs/>
                <w:sz w:val="16"/>
                <w:szCs w:val="16"/>
              </w:rPr>
            </w:pPr>
            <w:r w:rsidRPr="00352F05">
              <w:rPr>
                <w:rFonts w:ascii="Arial" w:eastAsia="Times New Roman" w:hAnsi="Arial" w:cs="Arial"/>
                <w:sz w:val="16"/>
                <w:szCs w:val="16"/>
              </w:rPr>
              <w:t xml:space="preserve">193 </w:t>
            </w:r>
          </w:p>
        </w:tc>
      </w:tr>
      <w:tr w:rsidR="00FD0063" w:rsidRPr="00D32176" w14:paraId="695FFEF8" w14:textId="77777777" w:rsidTr="00FD0063">
        <w:trPr>
          <w:trHeight w:val="360"/>
        </w:trPr>
        <w:tc>
          <w:tcPr>
            <w:tcW w:w="2160" w:type="dxa"/>
            <w:tcBorders>
              <w:left w:val="nil"/>
            </w:tcBorders>
            <w:shd w:val="clear" w:color="auto" w:fill="auto"/>
            <w:noWrap/>
            <w:vAlign w:val="center"/>
            <w:hideMark/>
          </w:tcPr>
          <w:p w14:paraId="55E23036" w14:textId="77777777" w:rsidR="00FD0063" w:rsidRPr="00D32176" w:rsidRDefault="00FD0063" w:rsidP="00FD0063">
            <w:pPr>
              <w:rPr>
                <w:rFonts w:ascii="Arial" w:eastAsia="Times New Roman" w:hAnsi="Arial" w:cs="Arial"/>
                <w:sz w:val="18"/>
                <w:szCs w:val="18"/>
              </w:rPr>
            </w:pPr>
          </w:p>
        </w:tc>
        <w:tc>
          <w:tcPr>
            <w:tcW w:w="720" w:type="dxa"/>
            <w:shd w:val="clear" w:color="auto" w:fill="auto"/>
            <w:noWrap/>
            <w:tcMar>
              <w:left w:w="14" w:type="dxa"/>
              <w:right w:w="14" w:type="dxa"/>
            </w:tcMar>
            <w:vAlign w:val="center"/>
            <w:hideMark/>
          </w:tcPr>
          <w:p w14:paraId="6160687F" w14:textId="77777777" w:rsidR="00FD0063" w:rsidRPr="00352F05" w:rsidRDefault="00FD0063" w:rsidP="00FD0063">
            <w:pPr>
              <w:jc w:val="center"/>
              <w:rPr>
                <w:rFonts w:ascii="Arial" w:eastAsia="Times New Roman" w:hAnsi="Arial" w:cs="Arial"/>
                <w:b/>
                <w:bCs/>
                <w:sz w:val="16"/>
                <w:szCs w:val="16"/>
              </w:rPr>
            </w:pPr>
            <w:r w:rsidRPr="00352F05">
              <w:rPr>
                <w:rFonts w:ascii="Arial" w:eastAsia="Times New Roman" w:hAnsi="Arial" w:cs="Arial"/>
                <w:b/>
                <w:bCs/>
                <w:sz w:val="16"/>
                <w:szCs w:val="16"/>
              </w:rPr>
              <w:t>29</w:t>
            </w:r>
          </w:p>
        </w:tc>
        <w:tc>
          <w:tcPr>
            <w:tcW w:w="900" w:type="dxa"/>
            <w:shd w:val="clear" w:color="auto" w:fill="auto"/>
            <w:noWrap/>
            <w:vAlign w:val="center"/>
            <w:hideMark/>
          </w:tcPr>
          <w:p w14:paraId="4A95CB05" w14:textId="77777777" w:rsidR="00FD0063" w:rsidRPr="00352F05" w:rsidRDefault="00FD0063" w:rsidP="00FD0063">
            <w:pPr>
              <w:jc w:val="center"/>
              <w:rPr>
                <w:rFonts w:ascii="Arial" w:eastAsia="Times New Roman" w:hAnsi="Arial" w:cs="Arial"/>
                <w:b/>
                <w:bCs/>
                <w:sz w:val="16"/>
                <w:szCs w:val="16"/>
              </w:rPr>
            </w:pPr>
            <w:r w:rsidRPr="00352F05">
              <w:rPr>
                <w:rFonts w:ascii="Arial" w:eastAsia="Times New Roman" w:hAnsi="Arial" w:cs="Arial"/>
                <w:b/>
                <w:bCs/>
                <w:sz w:val="16"/>
                <w:szCs w:val="16"/>
              </w:rPr>
              <w:t>122,388</w:t>
            </w:r>
          </w:p>
        </w:tc>
        <w:tc>
          <w:tcPr>
            <w:tcW w:w="810" w:type="dxa"/>
            <w:shd w:val="clear" w:color="auto" w:fill="auto"/>
            <w:noWrap/>
            <w:vAlign w:val="center"/>
            <w:hideMark/>
          </w:tcPr>
          <w:p w14:paraId="6F9A5475" w14:textId="77777777" w:rsidR="00FD0063" w:rsidRPr="00352F05" w:rsidRDefault="00FD0063" w:rsidP="00FD0063">
            <w:pPr>
              <w:jc w:val="center"/>
              <w:rPr>
                <w:rFonts w:ascii="Arial" w:eastAsia="Times New Roman" w:hAnsi="Arial" w:cs="Arial"/>
                <w:b/>
                <w:bCs/>
                <w:sz w:val="16"/>
                <w:szCs w:val="16"/>
              </w:rPr>
            </w:pPr>
            <w:r w:rsidRPr="00352F05">
              <w:rPr>
                <w:rFonts w:ascii="Arial" w:eastAsia="Times New Roman" w:hAnsi="Arial" w:cs="Arial"/>
                <w:b/>
                <w:bCs/>
                <w:sz w:val="16"/>
                <w:szCs w:val="16"/>
              </w:rPr>
              <w:t>22,251</w:t>
            </w:r>
          </w:p>
        </w:tc>
        <w:tc>
          <w:tcPr>
            <w:tcW w:w="810" w:type="dxa"/>
            <w:vAlign w:val="center"/>
          </w:tcPr>
          <w:p w14:paraId="0EA6FDF3" w14:textId="77777777" w:rsidR="00FD0063" w:rsidRPr="00352F05" w:rsidRDefault="00FD0063" w:rsidP="00FD0063">
            <w:pPr>
              <w:jc w:val="center"/>
              <w:rPr>
                <w:rFonts w:ascii="Arial" w:eastAsia="Times New Roman" w:hAnsi="Arial" w:cs="Arial"/>
                <w:b/>
                <w:bCs/>
                <w:sz w:val="16"/>
                <w:szCs w:val="16"/>
              </w:rPr>
            </w:pPr>
            <w:r w:rsidRPr="00352F05">
              <w:rPr>
                <w:rFonts w:ascii="Arial" w:eastAsia="Times New Roman" w:hAnsi="Arial" w:cs="Arial"/>
                <w:b/>
                <w:bCs/>
                <w:sz w:val="16"/>
                <w:szCs w:val="16"/>
              </w:rPr>
              <w:t>26</w:t>
            </w:r>
          </w:p>
        </w:tc>
        <w:tc>
          <w:tcPr>
            <w:tcW w:w="630" w:type="dxa"/>
            <w:shd w:val="clear" w:color="auto" w:fill="auto"/>
            <w:noWrap/>
            <w:tcMar>
              <w:left w:w="14" w:type="dxa"/>
              <w:right w:w="14" w:type="dxa"/>
            </w:tcMar>
            <w:vAlign w:val="center"/>
            <w:hideMark/>
          </w:tcPr>
          <w:p w14:paraId="3769070E" w14:textId="77777777" w:rsidR="00FD0063" w:rsidRPr="00352F05" w:rsidRDefault="00FD0063" w:rsidP="00FD0063">
            <w:pPr>
              <w:jc w:val="center"/>
              <w:rPr>
                <w:rFonts w:ascii="Arial" w:eastAsia="Times New Roman" w:hAnsi="Arial" w:cs="Arial"/>
                <w:b/>
                <w:bCs/>
                <w:sz w:val="16"/>
                <w:szCs w:val="16"/>
              </w:rPr>
            </w:pPr>
            <w:r w:rsidRPr="00352F05">
              <w:rPr>
                <w:rFonts w:ascii="Arial" w:eastAsia="Times New Roman" w:hAnsi="Arial" w:cs="Arial"/>
                <w:b/>
                <w:bCs/>
                <w:sz w:val="16"/>
                <w:szCs w:val="16"/>
              </w:rPr>
              <w:t>428</w:t>
            </w:r>
          </w:p>
        </w:tc>
        <w:tc>
          <w:tcPr>
            <w:tcW w:w="482" w:type="dxa"/>
            <w:tcBorders>
              <w:right w:val="nil"/>
            </w:tcBorders>
            <w:shd w:val="clear" w:color="auto" w:fill="auto"/>
            <w:noWrap/>
            <w:vAlign w:val="center"/>
            <w:hideMark/>
          </w:tcPr>
          <w:p w14:paraId="53406B44" w14:textId="77777777" w:rsidR="00FD0063" w:rsidRPr="00D32176" w:rsidRDefault="00FD0063" w:rsidP="00FD0063">
            <w:pPr>
              <w:jc w:val="center"/>
              <w:rPr>
                <w:rFonts w:ascii="Arial" w:eastAsia="Times New Roman" w:hAnsi="Arial" w:cs="Arial"/>
                <w:sz w:val="18"/>
                <w:szCs w:val="18"/>
              </w:rPr>
            </w:pPr>
          </w:p>
        </w:tc>
      </w:tr>
    </w:tbl>
    <w:p w14:paraId="29117185" w14:textId="54BBB406" w:rsidR="00352F05" w:rsidRDefault="00352F05">
      <w:pPr>
        <w:rPr>
          <w:rFonts w:asciiTheme="majorHAnsi" w:eastAsiaTheme="majorEastAsia" w:hAnsiTheme="majorHAnsi" w:cstheme="majorBidi"/>
          <w:b/>
          <w:bCs/>
          <w:color w:val="4F81BD" w:themeColor="accent1"/>
          <w:sz w:val="26"/>
          <w:szCs w:val="26"/>
        </w:rPr>
      </w:pPr>
    </w:p>
    <w:p w14:paraId="7A62C73F" w14:textId="77777777" w:rsidR="001224BB" w:rsidRDefault="001224BB">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br w:type="page"/>
      </w:r>
    </w:p>
    <w:p w14:paraId="7DDC9A75" w14:textId="77777777" w:rsidR="001224BB" w:rsidRPr="00367577" w:rsidRDefault="001224BB" w:rsidP="00BE0079">
      <w:pPr>
        <w:pStyle w:val="Heading2"/>
        <w:spacing w:after="120"/>
        <w:rPr>
          <w:color w:val="548DD4" w:themeColor="text2" w:themeTint="99"/>
        </w:rPr>
      </w:pPr>
      <w:bookmarkStart w:id="15" w:name="_Toc292703942"/>
      <w:bookmarkStart w:id="16" w:name="_Toc292704160"/>
      <w:bookmarkStart w:id="17" w:name="_Toc294273139"/>
      <w:r w:rsidRPr="00367577">
        <w:rPr>
          <w:color w:val="548DD4" w:themeColor="text2" w:themeTint="99"/>
        </w:rPr>
        <w:t>Survey Design</w:t>
      </w:r>
      <w:bookmarkEnd w:id="15"/>
      <w:bookmarkEnd w:id="16"/>
      <w:bookmarkEnd w:id="17"/>
    </w:p>
    <w:p w14:paraId="10A4628B" w14:textId="1FC6C26B" w:rsidR="001224BB" w:rsidRPr="004C42CF" w:rsidRDefault="00BE0079" w:rsidP="00C633C4">
      <w:pPr>
        <w:spacing w:after="120"/>
        <w:jc w:val="both"/>
        <w:rPr>
          <w:rFonts w:asciiTheme="majorHAnsi" w:eastAsiaTheme="majorEastAsia" w:hAnsiTheme="majorHAnsi" w:cstheme="majorBidi"/>
          <w:bCs/>
        </w:rPr>
      </w:pPr>
      <w:r w:rsidRPr="004C42CF">
        <w:rPr>
          <w:rFonts w:asciiTheme="majorHAnsi" w:eastAsiaTheme="majorEastAsia" w:hAnsiTheme="majorHAnsi" w:cstheme="majorBidi"/>
          <w:bCs/>
        </w:rPr>
        <w:t xml:space="preserve">Initial briefings and project </w:t>
      </w:r>
      <w:r w:rsidR="00EA2081" w:rsidRPr="004C42CF">
        <w:rPr>
          <w:rFonts w:asciiTheme="majorHAnsi" w:eastAsiaTheme="majorEastAsia" w:hAnsiTheme="majorHAnsi" w:cstheme="majorBidi"/>
          <w:bCs/>
        </w:rPr>
        <w:t>orientation were provided by</w:t>
      </w:r>
      <w:r w:rsidRPr="004C42CF">
        <w:rPr>
          <w:rFonts w:asciiTheme="majorHAnsi" w:eastAsiaTheme="majorEastAsia" w:hAnsiTheme="majorHAnsi" w:cstheme="majorBidi"/>
          <w:bCs/>
        </w:rPr>
        <w:t xml:space="preserve"> SCI whilst the project managers from other consortium partners </w:t>
      </w:r>
      <w:r w:rsidR="00C633C4" w:rsidRPr="004C42CF">
        <w:rPr>
          <w:rFonts w:asciiTheme="majorHAnsi" w:eastAsiaTheme="majorEastAsia" w:hAnsiTheme="majorHAnsi" w:cstheme="majorBidi"/>
          <w:bCs/>
        </w:rPr>
        <w:t>pro</w:t>
      </w:r>
      <w:r w:rsidR="00EA2081" w:rsidRPr="004C42CF">
        <w:rPr>
          <w:rFonts w:asciiTheme="majorHAnsi" w:eastAsiaTheme="majorEastAsia" w:hAnsiTheme="majorHAnsi" w:cstheme="majorBidi"/>
          <w:bCs/>
        </w:rPr>
        <w:t>vided additional information,</w:t>
      </w:r>
      <w:r w:rsidR="00C633C4" w:rsidRPr="004C42CF">
        <w:rPr>
          <w:rFonts w:asciiTheme="majorHAnsi" w:eastAsiaTheme="majorEastAsia" w:hAnsiTheme="majorHAnsi" w:cstheme="majorBidi"/>
          <w:bCs/>
        </w:rPr>
        <w:t xml:space="preserve"> concerns and advice on areas where the KAP survey should focus. </w:t>
      </w:r>
      <w:r w:rsidR="00071E3C" w:rsidRPr="004C42CF">
        <w:rPr>
          <w:rFonts w:asciiTheme="majorHAnsi" w:eastAsiaTheme="majorEastAsia" w:hAnsiTheme="majorHAnsi" w:cstheme="majorBidi"/>
          <w:bCs/>
        </w:rPr>
        <w:t xml:space="preserve">Background reading included </w:t>
      </w:r>
      <w:r w:rsidR="00B751AD">
        <w:rPr>
          <w:rFonts w:asciiTheme="majorHAnsi" w:eastAsiaTheme="majorEastAsia" w:hAnsiTheme="majorHAnsi" w:cstheme="majorBidi"/>
          <w:bCs/>
        </w:rPr>
        <w:t xml:space="preserve">the third quarter report to DfID, </w:t>
      </w:r>
      <w:r w:rsidR="00071E3C" w:rsidRPr="004C42CF">
        <w:rPr>
          <w:rFonts w:asciiTheme="majorHAnsi" w:eastAsiaTheme="majorEastAsia" w:hAnsiTheme="majorHAnsi" w:cstheme="majorBidi"/>
          <w:bCs/>
        </w:rPr>
        <w:t>two logical framework matrices; the current DfID funded project (2014-15) and a proposed project for the fo</w:t>
      </w:r>
      <w:r w:rsidR="009E4175" w:rsidRPr="004C42CF">
        <w:rPr>
          <w:rFonts w:asciiTheme="majorHAnsi" w:eastAsiaTheme="majorEastAsia" w:hAnsiTheme="majorHAnsi" w:cstheme="majorBidi"/>
          <w:bCs/>
        </w:rPr>
        <w:t>r</w:t>
      </w:r>
      <w:r w:rsidR="00071E3C" w:rsidRPr="004C42CF">
        <w:rPr>
          <w:rFonts w:asciiTheme="majorHAnsi" w:eastAsiaTheme="majorEastAsia" w:hAnsiTheme="majorHAnsi" w:cstheme="majorBidi"/>
          <w:bCs/>
        </w:rPr>
        <w:t>th</w:t>
      </w:r>
      <w:r w:rsidR="009E4175" w:rsidRPr="004C42CF">
        <w:rPr>
          <w:rFonts w:asciiTheme="majorHAnsi" w:eastAsiaTheme="majorEastAsia" w:hAnsiTheme="majorHAnsi" w:cstheme="majorBidi"/>
          <w:bCs/>
        </w:rPr>
        <w:t xml:space="preserve"> round of funding</w:t>
      </w:r>
      <w:r w:rsidR="00071E3C" w:rsidRPr="004C42CF">
        <w:rPr>
          <w:rFonts w:asciiTheme="majorHAnsi" w:eastAsiaTheme="majorEastAsia" w:hAnsiTheme="majorHAnsi" w:cstheme="majorBidi"/>
          <w:bCs/>
        </w:rPr>
        <w:t xml:space="preserve"> (2015-16)</w:t>
      </w:r>
      <w:r w:rsidR="0016354E" w:rsidRPr="004C42CF">
        <w:rPr>
          <w:rFonts w:asciiTheme="majorHAnsi" w:eastAsiaTheme="majorEastAsia" w:hAnsiTheme="majorHAnsi" w:cstheme="majorBidi"/>
          <w:bCs/>
        </w:rPr>
        <w:t xml:space="preserve">, </w:t>
      </w:r>
      <w:r w:rsidR="00071E3C" w:rsidRPr="004C42CF">
        <w:rPr>
          <w:rFonts w:asciiTheme="majorHAnsi" w:eastAsiaTheme="majorEastAsia" w:hAnsiTheme="majorHAnsi" w:cstheme="majorBidi"/>
          <w:bCs/>
        </w:rPr>
        <w:t>as well as the two KAP baseline surveys</w:t>
      </w:r>
      <w:r w:rsidRPr="004C42CF">
        <w:rPr>
          <w:rFonts w:asciiTheme="majorHAnsi" w:eastAsiaTheme="majorEastAsia" w:hAnsiTheme="majorHAnsi" w:cstheme="majorBidi"/>
          <w:bCs/>
        </w:rPr>
        <w:t xml:space="preserve">; one for </w:t>
      </w:r>
      <w:r w:rsidR="00071E3C" w:rsidRPr="004C42CF">
        <w:rPr>
          <w:rFonts w:asciiTheme="majorHAnsi" w:eastAsiaTheme="majorEastAsia" w:hAnsiTheme="majorHAnsi" w:cstheme="majorBidi"/>
          <w:bCs/>
        </w:rPr>
        <w:t>IDP</w:t>
      </w:r>
      <w:r w:rsidRPr="004C42CF">
        <w:rPr>
          <w:rFonts w:asciiTheme="majorHAnsi" w:eastAsiaTheme="majorEastAsia" w:hAnsiTheme="majorHAnsi" w:cstheme="majorBidi"/>
          <w:bCs/>
        </w:rPr>
        <w:t xml:space="preserve">s living in temporary camps, the other </w:t>
      </w:r>
      <w:r w:rsidR="00071E3C" w:rsidRPr="004C42CF">
        <w:rPr>
          <w:rFonts w:asciiTheme="majorHAnsi" w:eastAsiaTheme="majorEastAsia" w:hAnsiTheme="majorHAnsi" w:cstheme="majorBidi"/>
          <w:bCs/>
        </w:rPr>
        <w:t>for</w:t>
      </w:r>
      <w:r w:rsidRPr="004C42CF">
        <w:rPr>
          <w:rFonts w:asciiTheme="majorHAnsi" w:eastAsiaTheme="majorEastAsia" w:hAnsiTheme="majorHAnsi" w:cstheme="majorBidi"/>
          <w:bCs/>
        </w:rPr>
        <w:t xml:space="preserve"> beneficiaries living in houses in nearby or remote villages of Sittwe Township</w:t>
      </w:r>
      <w:r w:rsidR="009E4175" w:rsidRPr="004C42CF">
        <w:rPr>
          <w:rFonts w:asciiTheme="majorHAnsi" w:eastAsiaTheme="majorEastAsia" w:hAnsiTheme="majorHAnsi" w:cstheme="majorBidi"/>
          <w:bCs/>
        </w:rPr>
        <w:t>.</w:t>
      </w:r>
      <w:r w:rsidR="00071E3C" w:rsidRPr="004C42CF">
        <w:rPr>
          <w:rFonts w:asciiTheme="majorHAnsi" w:eastAsiaTheme="majorEastAsia" w:hAnsiTheme="majorHAnsi" w:cstheme="majorBidi"/>
          <w:bCs/>
        </w:rPr>
        <w:t xml:space="preserve"> </w:t>
      </w:r>
      <w:r w:rsidR="0016354E" w:rsidRPr="004C42CF">
        <w:rPr>
          <w:rFonts w:asciiTheme="majorHAnsi" w:eastAsiaTheme="majorEastAsia" w:hAnsiTheme="majorHAnsi" w:cstheme="majorBidi"/>
          <w:bCs/>
        </w:rPr>
        <w:t>The m</w:t>
      </w:r>
      <w:r w:rsidR="00C633C4" w:rsidRPr="004C42CF">
        <w:rPr>
          <w:rFonts w:asciiTheme="majorHAnsi" w:eastAsiaTheme="majorEastAsia" w:hAnsiTheme="majorHAnsi" w:cstheme="majorBidi"/>
          <w:bCs/>
        </w:rPr>
        <w:t>inutes of WASH Sub-Cluster coordination meeting</w:t>
      </w:r>
      <w:r w:rsidR="0016354E" w:rsidRPr="004C42CF">
        <w:rPr>
          <w:rFonts w:asciiTheme="majorHAnsi" w:eastAsiaTheme="majorEastAsia" w:hAnsiTheme="majorHAnsi" w:cstheme="majorBidi"/>
          <w:bCs/>
        </w:rPr>
        <w:t>s</w:t>
      </w:r>
      <w:r w:rsidR="00C633C4" w:rsidRPr="004C42CF">
        <w:rPr>
          <w:rFonts w:asciiTheme="majorHAnsi" w:eastAsiaTheme="majorEastAsia" w:hAnsiTheme="majorHAnsi" w:cstheme="majorBidi"/>
          <w:bCs/>
        </w:rPr>
        <w:t xml:space="preserve"> also provided insight into some of the challenges faced during this project cycle.</w:t>
      </w:r>
    </w:p>
    <w:p w14:paraId="1EBF76BB" w14:textId="03E0F59C" w:rsidR="00EA2081" w:rsidRPr="00911E85" w:rsidRDefault="0016354E" w:rsidP="0016354E">
      <w:pPr>
        <w:spacing w:after="120"/>
        <w:jc w:val="both"/>
        <w:rPr>
          <w:rFonts w:asciiTheme="majorHAnsi" w:eastAsiaTheme="majorEastAsia" w:hAnsiTheme="majorHAnsi" w:cstheme="majorBidi"/>
          <w:bCs/>
        </w:rPr>
      </w:pPr>
      <w:r w:rsidRPr="004C42CF">
        <w:rPr>
          <w:rFonts w:asciiTheme="majorHAnsi" w:eastAsiaTheme="majorEastAsia" w:hAnsiTheme="majorHAnsi" w:cstheme="majorBidi"/>
          <w:bCs/>
        </w:rPr>
        <w:t>Following discussions with the program managers, a draft survey was compiled which included the inputs of all consortium partners. This draft was edited to a questionnaire of 76 questions and a</w:t>
      </w:r>
      <w:r w:rsidR="00767C4E" w:rsidRPr="004C42CF">
        <w:rPr>
          <w:rFonts w:asciiTheme="majorHAnsi" w:eastAsiaTheme="majorEastAsia" w:hAnsiTheme="majorHAnsi" w:cstheme="majorBidi"/>
          <w:bCs/>
        </w:rPr>
        <w:t xml:space="preserve">pproved </w:t>
      </w:r>
      <w:r w:rsidRPr="004C42CF">
        <w:rPr>
          <w:rFonts w:asciiTheme="majorHAnsi" w:eastAsiaTheme="majorEastAsia" w:hAnsiTheme="majorHAnsi" w:cstheme="majorBidi"/>
          <w:bCs/>
        </w:rPr>
        <w:t xml:space="preserve">by the program managers of the </w:t>
      </w:r>
      <w:r w:rsidR="00767C4E" w:rsidRPr="004C42CF">
        <w:rPr>
          <w:rFonts w:asciiTheme="majorHAnsi" w:eastAsiaTheme="majorEastAsia" w:hAnsiTheme="majorHAnsi" w:cstheme="majorBidi"/>
          <w:bCs/>
        </w:rPr>
        <w:t xml:space="preserve">four </w:t>
      </w:r>
      <w:r w:rsidRPr="004C42CF">
        <w:rPr>
          <w:rFonts w:asciiTheme="majorHAnsi" w:eastAsiaTheme="majorEastAsia" w:hAnsiTheme="majorHAnsi" w:cstheme="majorBidi"/>
          <w:bCs/>
        </w:rPr>
        <w:t>DfID implementing partners.</w:t>
      </w:r>
      <w:r w:rsidR="00767C4E" w:rsidRPr="004C42CF">
        <w:rPr>
          <w:rFonts w:asciiTheme="majorHAnsi" w:eastAsiaTheme="majorEastAsia" w:hAnsiTheme="majorHAnsi" w:cstheme="majorBidi"/>
          <w:bCs/>
        </w:rPr>
        <w:t xml:space="preserve"> The table below pres</w:t>
      </w:r>
      <w:r w:rsidR="00EA2081" w:rsidRPr="004C42CF">
        <w:rPr>
          <w:rFonts w:asciiTheme="majorHAnsi" w:eastAsiaTheme="majorEastAsia" w:hAnsiTheme="majorHAnsi" w:cstheme="majorBidi"/>
          <w:bCs/>
        </w:rPr>
        <w:t>ents a summary of the questions</w:t>
      </w:r>
      <w:r w:rsidR="00767C4E" w:rsidRPr="004C42CF">
        <w:rPr>
          <w:rFonts w:asciiTheme="majorHAnsi" w:eastAsiaTheme="majorEastAsia" w:hAnsiTheme="majorHAnsi" w:cstheme="majorBidi"/>
          <w:bCs/>
        </w:rPr>
        <w:t xml:space="preserve"> </w:t>
      </w:r>
      <w:r w:rsidR="0038779F" w:rsidRPr="004C42CF">
        <w:rPr>
          <w:rFonts w:asciiTheme="majorHAnsi" w:eastAsiaTheme="majorEastAsia" w:hAnsiTheme="majorHAnsi" w:cstheme="majorBidi"/>
          <w:bCs/>
        </w:rPr>
        <w:t>included in the KAP survey questionnaire</w:t>
      </w:r>
      <w:r w:rsidR="00767C4E" w:rsidRPr="004C42CF">
        <w:rPr>
          <w:rFonts w:asciiTheme="majorHAnsi" w:eastAsiaTheme="majorEastAsia" w:hAnsiTheme="majorHAnsi" w:cstheme="majorBidi"/>
          <w:bCs/>
        </w:rPr>
        <w:t>.</w:t>
      </w:r>
    </w:p>
    <w:p w14:paraId="1E852283" w14:textId="7563382D" w:rsidR="00BE0079" w:rsidRDefault="00BE0079" w:rsidP="00BE0079">
      <w:pPr>
        <w:spacing w:after="120"/>
        <w:jc w:val="both"/>
        <w:rPr>
          <w:rFonts w:asciiTheme="majorHAnsi" w:eastAsiaTheme="majorEastAsia" w:hAnsiTheme="majorHAnsi" w:cstheme="majorBidi"/>
          <w:bCs/>
          <w:sz w:val="22"/>
          <w:szCs w:val="22"/>
        </w:rPr>
      </w:pPr>
    </w:p>
    <w:tbl>
      <w:tblPr>
        <w:tblW w:w="9735" w:type="dxa"/>
        <w:tblInd w:w="93" w:type="dxa"/>
        <w:tblBorders>
          <w:insideH w:val="single" w:sz="4" w:space="0" w:color="auto"/>
          <w:insideV w:val="single" w:sz="4" w:space="0" w:color="auto"/>
        </w:tblBorders>
        <w:tblLayout w:type="fixed"/>
        <w:tblLook w:val="04A0" w:firstRow="1" w:lastRow="0" w:firstColumn="1" w:lastColumn="0" w:noHBand="0" w:noVBand="1"/>
      </w:tblPr>
      <w:tblGrid>
        <w:gridCol w:w="2355"/>
        <w:gridCol w:w="7380"/>
      </w:tblGrid>
      <w:tr w:rsidR="00FE02F3" w:rsidRPr="00FE02F3" w14:paraId="0A927FF9" w14:textId="77777777" w:rsidTr="00767C4E">
        <w:trPr>
          <w:trHeight w:val="468"/>
        </w:trPr>
        <w:tc>
          <w:tcPr>
            <w:tcW w:w="2355" w:type="dxa"/>
            <w:shd w:val="clear" w:color="auto" w:fill="auto"/>
            <w:vAlign w:val="center"/>
            <w:hideMark/>
          </w:tcPr>
          <w:p w14:paraId="5FC27A55" w14:textId="77777777" w:rsidR="00FE02F3" w:rsidRPr="0038779F" w:rsidRDefault="00FE02F3" w:rsidP="00FE02F3">
            <w:pPr>
              <w:jc w:val="center"/>
              <w:rPr>
                <w:rFonts w:ascii="Calibri" w:eastAsia="Times New Roman" w:hAnsi="Calibri" w:cs="Times New Roman"/>
                <w:b/>
                <w:bCs/>
                <w:sz w:val="20"/>
                <w:szCs w:val="20"/>
              </w:rPr>
            </w:pPr>
            <w:r w:rsidRPr="0038779F">
              <w:rPr>
                <w:rFonts w:ascii="Calibri" w:eastAsia="Times New Roman" w:hAnsi="Calibri" w:cs="Times New Roman"/>
                <w:b/>
                <w:bCs/>
                <w:sz w:val="20"/>
                <w:szCs w:val="20"/>
              </w:rPr>
              <w:t>Topic / Subject</w:t>
            </w:r>
          </w:p>
        </w:tc>
        <w:tc>
          <w:tcPr>
            <w:tcW w:w="7380" w:type="dxa"/>
            <w:shd w:val="clear" w:color="auto" w:fill="auto"/>
            <w:vAlign w:val="center"/>
            <w:hideMark/>
          </w:tcPr>
          <w:p w14:paraId="42DBEFFC" w14:textId="77777777" w:rsidR="00FE02F3" w:rsidRPr="00FE02F3" w:rsidRDefault="00FE02F3" w:rsidP="00FE02F3">
            <w:pPr>
              <w:jc w:val="center"/>
              <w:rPr>
                <w:rFonts w:ascii="Calibri" w:eastAsia="Times New Roman" w:hAnsi="Calibri" w:cs="Times New Roman"/>
                <w:b/>
                <w:bCs/>
                <w:sz w:val="20"/>
                <w:szCs w:val="20"/>
              </w:rPr>
            </w:pPr>
            <w:r w:rsidRPr="00FE02F3">
              <w:rPr>
                <w:rFonts w:ascii="Calibri" w:eastAsia="Times New Roman" w:hAnsi="Calibri" w:cs="Times New Roman"/>
                <w:b/>
                <w:bCs/>
                <w:sz w:val="20"/>
                <w:szCs w:val="20"/>
              </w:rPr>
              <w:t>KAP Questions</w:t>
            </w:r>
          </w:p>
        </w:tc>
      </w:tr>
      <w:tr w:rsidR="00FE02F3" w:rsidRPr="00FE02F3" w14:paraId="6670EFB5" w14:textId="77777777" w:rsidTr="00767C4E">
        <w:trPr>
          <w:trHeight w:val="280"/>
        </w:trPr>
        <w:tc>
          <w:tcPr>
            <w:tcW w:w="2355" w:type="dxa"/>
            <w:shd w:val="clear" w:color="auto" w:fill="auto"/>
            <w:tcMar>
              <w:top w:w="72" w:type="dxa"/>
              <w:left w:w="115" w:type="dxa"/>
              <w:bottom w:w="72" w:type="dxa"/>
              <w:right w:w="115" w:type="dxa"/>
            </w:tcMar>
            <w:vAlign w:val="center"/>
            <w:hideMark/>
          </w:tcPr>
          <w:p w14:paraId="31443CBD" w14:textId="556A98DD" w:rsidR="00FE02F3" w:rsidRPr="0038779F" w:rsidRDefault="00FE02F3" w:rsidP="00FE02F3">
            <w:pPr>
              <w:jc w:val="right"/>
              <w:rPr>
                <w:rFonts w:ascii="Calibri" w:eastAsia="Times New Roman" w:hAnsi="Calibri" w:cs="Times New Roman"/>
                <w:sz w:val="20"/>
                <w:szCs w:val="20"/>
              </w:rPr>
            </w:pPr>
            <w:r w:rsidRPr="0038779F">
              <w:rPr>
                <w:rFonts w:ascii="Calibri" w:eastAsia="Times New Roman" w:hAnsi="Calibri" w:cs="Times New Roman"/>
                <w:sz w:val="20"/>
                <w:szCs w:val="20"/>
              </w:rPr>
              <w:t>DEMOGRAPHICS</w:t>
            </w:r>
          </w:p>
        </w:tc>
        <w:tc>
          <w:tcPr>
            <w:tcW w:w="7380" w:type="dxa"/>
            <w:shd w:val="clear" w:color="auto" w:fill="auto"/>
            <w:tcMar>
              <w:top w:w="72" w:type="dxa"/>
              <w:left w:w="115" w:type="dxa"/>
              <w:bottom w:w="72" w:type="dxa"/>
              <w:right w:w="115" w:type="dxa"/>
            </w:tcMar>
            <w:vAlign w:val="center"/>
            <w:hideMark/>
          </w:tcPr>
          <w:p w14:paraId="21DAEADD" w14:textId="3FC2AA3D" w:rsidR="00FE02F3" w:rsidRPr="0038779F" w:rsidRDefault="00FE02F3" w:rsidP="00FE02F3">
            <w:pPr>
              <w:rPr>
                <w:rFonts w:ascii="Calibri" w:eastAsia="Times New Roman" w:hAnsi="Calibri" w:cs="Times New Roman"/>
                <w:i/>
                <w:color w:val="000000"/>
                <w:sz w:val="20"/>
                <w:szCs w:val="20"/>
              </w:rPr>
            </w:pPr>
            <w:r w:rsidRPr="0038779F">
              <w:rPr>
                <w:rFonts w:ascii="Calibri" w:eastAsia="Times New Roman" w:hAnsi="Calibri" w:cs="Times New Roman"/>
                <w:i/>
                <w:color w:val="000000"/>
                <w:sz w:val="20"/>
                <w:szCs w:val="20"/>
              </w:rPr>
              <w:t>Consent / Age / Gender / Household composition</w:t>
            </w:r>
          </w:p>
        </w:tc>
      </w:tr>
      <w:tr w:rsidR="00FE02F3" w:rsidRPr="00FE02F3" w14:paraId="77BB920A" w14:textId="77777777" w:rsidTr="0038779F">
        <w:trPr>
          <w:trHeight w:val="836"/>
        </w:trPr>
        <w:tc>
          <w:tcPr>
            <w:tcW w:w="2355" w:type="dxa"/>
            <w:shd w:val="clear" w:color="auto" w:fill="auto"/>
            <w:tcMar>
              <w:top w:w="72" w:type="dxa"/>
              <w:left w:w="115" w:type="dxa"/>
              <w:bottom w:w="72" w:type="dxa"/>
              <w:right w:w="115" w:type="dxa"/>
            </w:tcMar>
            <w:vAlign w:val="center"/>
            <w:hideMark/>
          </w:tcPr>
          <w:p w14:paraId="15A8E147" w14:textId="77777777" w:rsidR="00FE02F3" w:rsidRPr="0038779F" w:rsidRDefault="00FE02F3" w:rsidP="00FE02F3">
            <w:pPr>
              <w:jc w:val="right"/>
              <w:rPr>
                <w:rFonts w:ascii="Calibri" w:eastAsia="Times New Roman" w:hAnsi="Calibri" w:cs="Times New Roman"/>
                <w:sz w:val="20"/>
                <w:szCs w:val="20"/>
              </w:rPr>
            </w:pPr>
            <w:r w:rsidRPr="0038779F">
              <w:rPr>
                <w:rFonts w:ascii="Calibri" w:eastAsia="Times New Roman" w:hAnsi="Calibri" w:cs="Times New Roman"/>
                <w:sz w:val="20"/>
                <w:szCs w:val="20"/>
              </w:rPr>
              <w:t xml:space="preserve">DIARRHOEA </w:t>
            </w:r>
            <w:r w:rsidRPr="0038779F">
              <w:rPr>
                <w:rFonts w:ascii="Calibri" w:eastAsia="Times New Roman" w:hAnsi="Calibri" w:cs="Times New Roman"/>
                <w:sz w:val="20"/>
                <w:szCs w:val="20"/>
              </w:rPr>
              <w:br/>
              <w:t>(Prevention &amp; Treatment)</w:t>
            </w:r>
          </w:p>
        </w:tc>
        <w:tc>
          <w:tcPr>
            <w:tcW w:w="7380" w:type="dxa"/>
            <w:shd w:val="clear" w:color="auto" w:fill="auto"/>
            <w:tcMar>
              <w:top w:w="72" w:type="dxa"/>
              <w:left w:w="115" w:type="dxa"/>
              <w:bottom w:w="72" w:type="dxa"/>
              <w:right w:w="115" w:type="dxa"/>
            </w:tcMar>
            <w:vAlign w:val="center"/>
            <w:hideMark/>
          </w:tcPr>
          <w:p w14:paraId="0AD71133" w14:textId="182FBE16" w:rsidR="00FE02F3" w:rsidRPr="0038779F" w:rsidRDefault="00EA2081" w:rsidP="00EA2081">
            <w:pPr>
              <w:rPr>
                <w:rFonts w:ascii="Calibri" w:eastAsia="Times New Roman" w:hAnsi="Calibri" w:cs="Times New Roman"/>
                <w:i/>
                <w:iCs/>
                <w:sz w:val="20"/>
                <w:szCs w:val="20"/>
              </w:rPr>
            </w:pPr>
            <w:r>
              <w:rPr>
                <w:rFonts w:ascii="Calibri" w:eastAsia="Times New Roman" w:hAnsi="Calibri" w:cs="Times New Roman"/>
                <w:i/>
                <w:iCs/>
                <w:sz w:val="20"/>
                <w:szCs w:val="20"/>
              </w:rPr>
              <w:t>Peak periods</w:t>
            </w:r>
            <w:r w:rsidR="00FE02F3" w:rsidRPr="0038779F">
              <w:rPr>
                <w:rFonts w:ascii="Calibri" w:eastAsia="Times New Roman" w:hAnsi="Calibri" w:cs="Times New Roman"/>
                <w:i/>
                <w:iCs/>
                <w:sz w:val="20"/>
                <w:szCs w:val="20"/>
              </w:rPr>
              <w:t xml:space="preserve"> </w:t>
            </w:r>
            <w:r>
              <w:rPr>
                <w:rFonts w:ascii="Calibri" w:eastAsia="Times New Roman" w:hAnsi="Calibri" w:cs="Times New Roman"/>
                <w:i/>
                <w:iCs/>
                <w:sz w:val="20"/>
                <w:szCs w:val="20"/>
              </w:rPr>
              <w:t>for d</w:t>
            </w:r>
            <w:r w:rsidR="00FE02F3" w:rsidRPr="0038779F">
              <w:rPr>
                <w:rFonts w:ascii="Calibri" w:eastAsia="Times New Roman" w:hAnsi="Calibri" w:cs="Times New Roman"/>
                <w:i/>
                <w:iCs/>
                <w:sz w:val="20"/>
                <w:szCs w:val="20"/>
              </w:rPr>
              <w:t>iarrhoea</w:t>
            </w:r>
            <w:r>
              <w:rPr>
                <w:rFonts w:ascii="Calibri" w:eastAsia="Times New Roman" w:hAnsi="Calibri" w:cs="Times New Roman"/>
                <w:i/>
                <w:iCs/>
                <w:sz w:val="20"/>
                <w:szCs w:val="20"/>
              </w:rPr>
              <w:t xml:space="preserve"> / Causes of d</w:t>
            </w:r>
            <w:r w:rsidR="00FE02F3" w:rsidRPr="0038779F">
              <w:rPr>
                <w:rFonts w:ascii="Calibri" w:eastAsia="Times New Roman" w:hAnsi="Calibri" w:cs="Times New Roman"/>
                <w:i/>
                <w:iCs/>
                <w:sz w:val="20"/>
                <w:szCs w:val="20"/>
              </w:rPr>
              <w:t xml:space="preserve">iarrhoea / Whether people can prevent diarrhoea / Things that can be done at home to reduce likelihood of diarrhoea / Prevalence of diarrhoea in children / Seriousness of diarrhoea / </w:t>
            </w:r>
            <w:r w:rsidR="0038779F">
              <w:rPr>
                <w:rFonts w:ascii="Calibri" w:eastAsia="Times New Roman" w:hAnsi="Calibri" w:cs="Times New Roman"/>
                <w:i/>
                <w:iCs/>
                <w:sz w:val="20"/>
                <w:szCs w:val="20"/>
              </w:rPr>
              <w:t>Monthly</w:t>
            </w:r>
            <w:r w:rsidR="00FE02F3" w:rsidRPr="0038779F">
              <w:rPr>
                <w:rFonts w:ascii="Calibri" w:eastAsia="Times New Roman" w:hAnsi="Calibri" w:cs="Times New Roman"/>
                <w:i/>
                <w:iCs/>
                <w:sz w:val="20"/>
                <w:szCs w:val="20"/>
              </w:rPr>
              <w:t xml:space="preserve"> medical bills</w:t>
            </w:r>
          </w:p>
        </w:tc>
      </w:tr>
      <w:tr w:rsidR="00FE02F3" w:rsidRPr="00FE02F3" w14:paraId="16711FFB" w14:textId="77777777" w:rsidTr="0038779F">
        <w:trPr>
          <w:trHeight w:val="584"/>
        </w:trPr>
        <w:tc>
          <w:tcPr>
            <w:tcW w:w="2355" w:type="dxa"/>
            <w:shd w:val="clear" w:color="auto" w:fill="auto"/>
            <w:tcMar>
              <w:top w:w="72" w:type="dxa"/>
              <w:left w:w="115" w:type="dxa"/>
              <w:bottom w:w="72" w:type="dxa"/>
              <w:right w:w="115" w:type="dxa"/>
            </w:tcMar>
            <w:vAlign w:val="center"/>
            <w:hideMark/>
          </w:tcPr>
          <w:p w14:paraId="71DE7288" w14:textId="77777777" w:rsidR="00FE02F3" w:rsidRPr="0038779F" w:rsidRDefault="00FE02F3" w:rsidP="00FE02F3">
            <w:pPr>
              <w:jc w:val="right"/>
              <w:rPr>
                <w:rFonts w:ascii="Calibri" w:eastAsia="Times New Roman" w:hAnsi="Calibri" w:cs="Times New Roman"/>
                <w:sz w:val="20"/>
                <w:szCs w:val="20"/>
              </w:rPr>
            </w:pPr>
            <w:r w:rsidRPr="0038779F">
              <w:rPr>
                <w:rFonts w:ascii="Calibri" w:eastAsia="Times New Roman" w:hAnsi="Calibri" w:cs="Times New Roman"/>
                <w:sz w:val="20"/>
                <w:szCs w:val="20"/>
              </w:rPr>
              <w:t>WATER ACCESS AND BEHAVIOUR</w:t>
            </w:r>
          </w:p>
        </w:tc>
        <w:tc>
          <w:tcPr>
            <w:tcW w:w="7380" w:type="dxa"/>
            <w:shd w:val="clear" w:color="auto" w:fill="auto"/>
            <w:tcMar>
              <w:top w:w="72" w:type="dxa"/>
              <w:left w:w="115" w:type="dxa"/>
              <w:bottom w:w="72" w:type="dxa"/>
              <w:right w:w="115" w:type="dxa"/>
            </w:tcMar>
            <w:vAlign w:val="center"/>
            <w:hideMark/>
          </w:tcPr>
          <w:p w14:paraId="7DDCB0A2" w14:textId="2ECFEA27" w:rsidR="00FE02F3" w:rsidRPr="0038779F" w:rsidRDefault="00FE02F3" w:rsidP="0038779F">
            <w:pPr>
              <w:rPr>
                <w:rFonts w:ascii="Calibri" w:eastAsia="Times New Roman" w:hAnsi="Calibri" w:cs="Times New Roman"/>
                <w:i/>
                <w:sz w:val="20"/>
                <w:szCs w:val="20"/>
              </w:rPr>
            </w:pPr>
            <w:r w:rsidRPr="0038779F">
              <w:rPr>
                <w:rFonts w:ascii="Calibri" w:eastAsia="Times New Roman" w:hAnsi="Calibri" w:cs="Times New Roman"/>
                <w:i/>
                <w:sz w:val="20"/>
                <w:szCs w:val="20"/>
              </w:rPr>
              <w:t>Drinking water sources / Changing sources / Whether water can cause illness / illness causes by water / Household water treatment (</w:t>
            </w:r>
            <w:r w:rsidR="0038779F">
              <w:rPr>
                <w:rFonts w:ascii="Calibri" w:eastAsia="Times New Roman" w:hAnsi="Calibri" w:cs="Times New Roman"/>
                <w:i/>
                <w:sz w:val="20"/>
                <w:szCs w:val="20"/>
              </w:rPr>
              <w:t>HWT) / Changes in HWT behaviour</w:t>
            </w:r>
          </w:p>
        </w:tc>
      </w:tr>
      <w:tr w:rsidR="00FE02F3" w:rsidRPr="00FE02F3" w14:paraId="38662A50" w14:textId="77777777" w:rsidTr="00767C4E">
        <w:trPr>
          <w:trHeight w:val="557"/>
        </w:trPr>
        <w:tc>
          <w:tcPr>
            <w:tcW w:w="2355" w:type="dxa"/>
            <w:shd w:val="clear" w:color="auto" w:fill="auto"/>
            <w:tcMar>
              <w:top w:w="72" w:type="dxa"/>
              <w:left w:w="115" w:type="dxa"/>
              <w:bottom w:w="72" w:type="dxa"/>
              <w:right w:w="115" w:type="dxa"/>
            </w:tcMar>
            <w:vAlign w:val="center"/>
            <w:hideMark/>
          </w:tcPr>
          <w:p w14:paraId="0CE48DAB" w14:textId="77777777" w:rsidR="00FE02F3" w:rsidRPr="0038779F" w:rsidRDefault="00FE02F3" w:rsidP="00FE02F3">
            <w:pPr>
              <w:jc w:val="right"/>
              <w:rPr>
                <w:rFonts w:ascii="Calibri" w:eastAsia="Times New Roman" w:hAnsi="Calibri" w:cs="Times New Roman"/>
                <w:sz w:val="20"/>
                <w:szCs w:val="20"/>
              </w:rPr>
            </w:pPr>
            <w:r w:rsidRPr="0038779F">
              <w:rPr>
                <w:rFonts w:ascii="Calibri" w:eastAsia="Times New Roman" w:hAnsi="Calibri" w:cs="Times New Roman"/>
                <w:sz w:val="20"/>
                <w:szCs w:val="20"/>
              </w:rPr>
              <w:t>For users of CERAMIC WATER FILTERS</w:t>
            </w:r>
          </w:p>
        </w:tc>
        <w:tc>
          <w:tcPr>
            <w:tcW w:w="7380" w:type="dxa"/>
            <w:shd w:val="clear" w:color="auto" w:fill="auto"/>
            <w:tcMar>
              <w:top w:w="72" w:type="dxa"/>
              <w:left w:w="115" w:type="dxa"/>
              <w:bottom w:w="72" w:type="dxa"/>
              <w:right w:w="115" w:type="dxa"/>
            </w:tcMar>
            <w:vAlign w:val="center"/>
            <w:hideMark/>
          </w:tcPr>
          <w:p w14:paraId="371B966A" w14:textId="18DEB710" w:rsidR="00FE02F3" w:rsidRPr="0038779F" w:rsidRDefault="00FE02F3" w:rsidP="00767C4E">
            <w:pPr>
              <w:rPr>
                <w:rFonts w:ascii="Calibri" w:eastAsia="Times New Roman" w:hAnsi="Calibri" w:cs="Times New Roman"/>
                <w:i/>
                <w:sz w:val="20"/>
                <w:szCs w:val="20"/>
              </w:rPr>
            </w:pPr>
            <w:r w:rsidRPr="0038779F">
              <w:rPr>
                <w:rFonts w:ascii="Calibri" w:eastAsia="Times New Roman" w:hAnsi="Calibri" w:cs="Times New Roman"/>
                <w:i/>
                <w:sz w:val="20"/>
                <w:szCs w:val="20"/>
              </w:rPr>
              <w:t xml:space="preserve">Good aspects of CWF / Problems with CWF / Use / Refilling filters / </w:t>
            </w:r>
            <w:r w:rsidR="00767C4E" w:rsidRPr="0038779F">
              <w:rPr>
                <w:rFonts w:ascii="Calibri" w:eastAsia="Times New Roman" w:hAnsi="Calibri" w:cs="Times New Roman"/>
                <w:i/>
                <w:sz w:val="20"/>
                <w:szCs w:val="20"/>
              </w:rPr>
              <w:t xml:space="preserve">Quantity </w:t>
            </w:r>
            <w:r w:rsidR="00E64758">
              <w:rPr>
                <w:rFonts w:ascii="Calibri" w:eastAsia="Times New Roman" w:hAnsi="Calibri" w:cs="Times New Roman"/>
                <w:i/>
                <w:sz w:val="20"/>
                <w:szCs w:val="20"/>
              </w:rPr>
              <w:t xml:space="preserve">provided </w:t>
            </w:r>
            <w:r w:rsidRPr="0038779F">
              <w:rPr>
                <w:rFonts w:ascii="Calibri" w:eastAsia="Times New Roman" w:hAnsi="Calibri" w:cs="Times New Roman"/>
                <w:i/>
                <w:sz w:val="20"/>
                <w:szCs w:val="20"/>
              </w:rPr>
              <w:t xml:space="preserve">/ Behaviour when no filtered water / </w:t>
            </w:r>
            <w:r w:rsidR="00767C4E" w:rsidRPr="0038779F">
              <w:rPr>
                <w:rFonts w:ascii="Calibri" w:eastAsia="Times New Roman" w:hAnsi="Calibri" w:cs="Times New Roman"/>
                <w:i/>
                <w:sz w:val="20"/>
                <w:szCs w:val="20"/>
              </w:rPr>
              <w:t>Replacement of a filter bowl / W</w:t>
            </w:r>
            <w:r w:rsidRPr="0038779F">
              <w:rPr>
                <w:rFonts w:ascii="Calibri" w:eastAsia="Times New Roman" w:hAnsi="Calibri" w:cs="Times New Roman"/>
                <w:i/>
                <w:sz w:val="20"/>
                <w:szCs w:val="20"/>
              </w:rPr>
              <w:t>illingness to pay</w:t>
            </w:r>
          </w:p>
        </w:tc>
      </w:tr>
      <w:tr w:rsidR="00FE02F3" w:rsidRPr="00FE02F3" w14:paraId="4F51DBF2" w14:textId="77777777" w:rsidTr="00767C4E">
        <w:trPr>
          <w:trHeight w:val="280"/>
        </w:trPr>
        <w:tc>
          <w:tcPr>
            <w:tcW w:w="2355" w:type="dxa"/>
            <w:shd w:val="clear" w:color="auto" w:fill="auto"/>
            <w:tcMar>
              <w:top w:w="72" w:type="dxa"/>
              <w:left w:w="115" w:type="dxa"/>
              <w:bottom w:w="72" w:type="dxa"/>
              <w:right w:w="115" w:type="dxa"/>
            </w:tcMar>
            <w:vAlign w:val="center"/>
            <w:hideMark/>
          </w:tcPr>
          <w:p w14:paraId="427215AE" w14:textId="77777777" w:rsidR="00FE02F3" w:rsidRPr="0038779F" w:rsidRDefault="00FE02F3" w:rsidP="00FE02F3">
            <w:pPr>
              <w:jc w:val="right"/>
              <w:rPr>
                <w:rFonts w:ascii="Calibri" w:eastAsia="Times New Roman" w:hAnsi="Calibri" w:cs="Times New Roman"/>
                <w:sz w:val="20"/>
                <w:szCs w:val="20"/>
              </w:rPr>
            </w:pPr>
            <w:r w:rsidRPr="0038779F">
              <w:rPr>
                <w:rFonts w:ascii="Calibri" w:eastAsia="Times New Roman" w:hAnsi="Calibri" w:cs="Times New Roman"/>
                <w:sz w:val="20"/>
                <w:szCs w:val="20"/>
              </w:rPr>
              <w:t>OBSERVATION</w:t>
            </w:r>
          </w:p>
        </w:tc>
        <w:tc>
          <w:tcPr>
            <w:tcW w:w="7380" w:type="dxa"/>
            <w:shd w:val="clear" w:color="auto" w:fill="auto"/>
            <w:tcMar>
              <w:top w:w="72" w:type="dxa"/>
              <w:left w:w="115" w:type="dxa"/>
              <w:bottom w:w="72" w:type="dxa"/>
              <w:right w:w="115" w:type="dxa"/>
            </w:tcMar>
            <w:vAlign w:val="center"/>
            <w:hideMark/>
          </w:tcPr>
          <w:p w14:paraId="2DB68D27" w14:textId="77777777" w:rsidR="00FE02F3" w:rsidRPr="0038779F" w:rsidRDefault="00FE02F3" w:rsidP="00FE02F3">
            <w:pPr>
              <w:rPr>
                <w:rFonts w:ascii="Calibri" w:eastAsia="Times New Roman" w:hAnsi="Calibri" w:cs="Times New Roman"/>
                <w:i/>
                <w:color w:val="000000"/>
                <w:sz w:val="20"/>
                <w:szCs w:val="20"/>
              </w:rPr>
            </w:pPr>
            <w:r w:rsidRPr="0038779F">
              <w:rPr>
                <w:rFonts w:ascii="Calibri" w:eastAsia="Times New Roman" w:hAnsi="Calibri" w:cs="Times New Roman"/>
                <w:i/>
                <w:color w:val="000000"/>
                <w:sz w:val="20"/>
                <w:szCs w:val="20"/>
              </w:rPr>
              <w:t>Drinking water container / Behaviour when preparing a glass of water</w:t>
            </w:r>
          </w:p>
        </w:tc>
      </w:tr>
      <w:tr w:rsidR="00FE02F3" w:rsidRPr="00FE02F3" w14:paraId="161B69E3" w14:textId="77777777" w:rsidTr="00767C4E">
        <w:trPr>
          <w:trHeight w:val="503"/>
        </w:trPr>
        <w:tc>
          <w:tcPr>
            <w:tcW w:w="2355" w:type="dxa"/>
            <w:shd w:val="clear" w:color="auto" w:fill="auto"/>
            <w:tcMar>
              <w:top w:w="72" w:type="dxa"/>
              <w:left w:w="115" w:type="dxa"/>
              <w:bottom w:w="72" w:type="dxa"/>
              <w:right w:w="115" w:type="dxa"/>
            </w:tcMar>
            <w:vAlign w:val="center"/>
            <w:hideMark/>
          </w:tcPr>
          <w:p w14:paraId="126FB765" w14:textId="77777777" w:rsidR="00FE02F3" w:rsidRPr="0038779F" w:rsidRDefault="00FE02F3" w:rsidP="00FE02F3">
            <w:pPr>
              <w:jc w:val="right"/>
              <w:rPr>
                <w:rFonts w:ascii="Calibri" w:eastAsia="Times New Roman" w:hAnsi="Calibri" w:cs="Times New Roman"/>
                <w:sz w:val="20"/>
                <w:szCs w:val="20"/>
              </w:rPr>
            </w:pPr>
            <w:r w:rsidRPr="0038779F">
              <w:rPr>
                <w:rFonts w:ascii="Calibri" w:eastAsia="Times New Roman" w:hAnsi="Calibri" w:cs="Times New Roman"/>
                <w:sz w:val="20"/>
                <w:szCs w:val="20"/>
              </w:rPr>
              <w:t>HANDWASHING BEHAVIOURS</w:t>
            </w:r>
          </w:p>
        </w:tc>
        <w:tc>
          <w:tcPr>
            <w:tcW w:w="7380" w:type="dxa"/>
            <w:shd w:val="clear" w:color="auto" w:fill="auto"/>
            <w:tcMar>
              <w:top w:w="72" w:type="dxa"/>
              <w:left w:w="115" w:type="dxa"/>
              <w:bottom w:w="72" w:type="dxa"/>
              <w:right w:w="115" w:type="dxa"/>
            </w:tcMar>
            <w:vAlign w:val="center"/>
            <w:hideMark/>
          </w:tcPr>
          <w:p w14:paraId="62DB676B" w14:textId="0C5598FA" w:rsidR="00FE02F3" w:rsidRPr="0038779F" w:rsidRDefault="00FE02F3" w:rsidP="00FE02F3">
            <w:pPr>
              <w:rPr>
                <w:rFonts w:ascii="Calibri" w:eastAsia="Times New Roman" w:hAnsi="Calibri" w:cs="Times New Roman"/>
                <w:i/>
                <w:sz w:val="20"/>
                <w:szCs w:val="20"/>
              </w:rPr>
            </w:pPr>
            <w:r w:rsidRPr="0038779F">
              <w:rPr>
                <w:rFonts w:ascii="Calibri" w:eastAsia="Times New Roman" w:hAnsi="Calibri" w:cs="Times New Roman"/>
                <w:i/>
                <w:sz w:val="20"/>
                <w:szCs w:val="20"/>
              </w:rPr>
              <w:t>Observation of behaviour / Availability of soap / Most important times / Reasons /</w:t>
            </w:r>
            <w:r w:rsidR="00767C4E" w:rsidRPr="0038779F">
              <w:rPr>
                <w:rFonts w:ascii="Calibri" w:eastAsia="Times New Roman" w:hAnsi="Calibri" w:cs="Times New Roman"/>
                <w:i/>
                <w:sz w:val="20"/>
                <w:szCs w:val="20"/>
              </w:rPr>
              <w:t xml:space="preserve"> </w:t>
            </w:r>
            <w:r w:rsidRPr="0038779F">
              <w:rPr>
                <w:rFonts w:ascii="Calibri" w:eastAsia="Times New Roman" w:hAnsi="Calibri" w:cs="Times New Roman"/>
                <w:i/>
                <w:sz w:val="20"/>
                <w:szCs w:val="20"/>
              </w:rPr>
              <w:t>Single hand handwashing</w:t>
            </w:r>
          </w:p>
        </w:tc>
      </w:tr>
      <w:tr w:rsidR="00FE02F3" w:rsidRPr="00FE02F3" w14:paraId="0683BC66" w14:textId="77777777" w:rsidTr="00767C4E">
        <w:trPr>
          <w:trHeight w:val="557"/>
        </w:trPr>
        <w:tc>
          <w:tcPr>
            <w:tcW w:w="2355" w:type="dxa"/>
            <w:shd w:val="clear" w:color="auto" w:fill="auto"/>
            <w:tcMar>
              <w:top w:w="72" w:type="dxa"/>
              <w:left w:w="115" w:type="dxa"/>
              <w:bottom w:w="72" w:type="dxa"/>
              <w:right w:w="115" w:type="dxa"/>
            </w:tcMar>
            <w:vAlign w:val="center"/>
            <w:hideMark/>
          </w:tcPr>
          <w:p w14:paraId="34B9E02A" w14:textId="77777777" w:rsidR="00FE02F3" w:rsidRPr="0038779F" w:rsidRDefault="00FE02F3" w:rsidP="00FE02F3">
            <w:pPr>
              <w:jc w:val="right"/>
              <w:rPr>
                <w:rFonts w:ascii="Calibri" w:eastAsia="Times New Roman" w:hAnsi="Calibri" w:cs="Times New Roman"/>
                <w:sz w:val="20"/>
                <w:szCs w:val="20"/>
              </w:rPr>
            </w:pPr>
            <w:r w:rsidRPr="0038779F">
              <w:rPr>
                <w:rFonts w:ascii="Calibri" w:eastAsia="Times New Roman" w:hAnsi="Calibri" w:cs="Times New Roman"/>
                <w:sz w:val="20"/>
                <w:szCs w:val="20"/>
              </w:rPr>
              <w:t>For MOTHERS &amp; CARE GIVERS TO CHILDREN</w:t>
            </w:r>
          </w:p>
        </w:tc>
        <w:tc>
          <w:tcPr>
            <w:tcW w:w="7380" w:type="dxa"/>
            <w:shd w:val="clear" w:color="auto" w:fill="auto"/>
            <w:tcMar>
              <w:top w:w="72" w:type="dxa"/>
              <w:left w:w="115" w:type="dxa"/>
              <w:bottom w:w="72" w:type="dxa"/>
              <w:right w:w="115" w:type="dxa"/>
            </w:tcMar>
            <w:vAlign w:val="center"/>
            <w:hideMark/>
          </w:tcPr>
          <w:p w14:paraId="59D975A9" w14:textId="77777777" w:rsidR="00FE02F3" w:rsidRPr="0038779F" w:rsidRDefault="00FE02F3" w:rsidP="00FE02F3">
            <w:pPr>
              <w:rPr>
                <w:rFonts w:ascii="Calibri" w:eastAsia="Times New Roman" w:hAnsi="Calibri" w:cs="Times New Roman"/>
                <w:i/>
                <w:sz w:val="20"/>
                <w:szCs w:val="20"/>
              </w:rPr>
            </w:pPr>
            <w:r w:rsidRPr="0038779F">
              <w:rPr>
                <w:rFonts w:ascii="Calibri" w:eastAsia="Times New Roman" w:hAnsi="Calibri" w:cs="Times New Roman"/>
                <w:i/>
                <w:sz w:val="20"/>
                <w:szCs w:val="20"/>
              </w:rPr>
              <w:t>Age of infant / Special times for handwashing when caring for children / Times when children are reminded to wash their hands / Children's use of soap for handwashing after defecation / Frequency of soap use</w:t>
            </w:r>
          </w:p>
        </w:tc>
      </w:tr>
      <w:tr w:rsidR="00FE02F3" w:rsidRPr="00FE02F3" w14:paraId="31A9B919" w14:textId="77777777" w:rsidTr="00767C4E">
        <w:trPr>
          <w:trHeight w:val="280"/>
        </w:trPr>
        <w:tc>
          <w:tcPr>
            <w:tcW w:w="2355" w:type="dxa"/>
            <w:shd w:val="clear" w:color="auto" w:fill="auto"/>
            <w:noWrap/>
            <w:tcMar>
              <w:top w:w="72" w:type="dxa"/>
              <w:left w:w="115" w:type="dxa"/>
              <w:bottom w:w="72" w:type="dxa"/>
              <w:right w:w="115" w:type="dxa"/>
            </w:tcMar>
            <w:vAlign w:val="center"/>
            <w:hideMark/>
          </w:tcPr>
          <w:p w14:paraId="06DF4D08" w14:textId="77777777" w:rsidR="00FE02F3" w:rsidRPr="0038779F" w:rsidRDefault="00FE02F3" w:rsidP="00FE02F3">
            <w:pPr>
              <w:jc w:val="right"/>
              <w:rPr>
                <w:rFonts w:ascii="Calibri" w:eastAsia="Times New Roman" w:hAnsi="Calibri" w:cs="Times New Roman"/>
                <w:sz w:val="20"/>
                <w:szCs w:val="20"/>
              </w:rPr>
            </w:pPr>
            <w:r w:rsidRPr="0038779F">
              <w:rPr>
                <w:rFonts w:ascii="Calibri" w:eastAsia="Times New Roman" w:hAnsi="Calibri" w:cs="Times New Roman"/>
                <w:sz w:val="20"/>
                <w:szCs w:val="20"/>
              </w:rPr>
              <w:t>FOOD HYGIENE</w:t>
            </w:r>
          </w:p>
        </w:tc>
        <w:tc>
          <w:tcPr>
            <w:tcW w:w="7380" w:type="dxa"/>
            <w:shd w:val="clear" w:color="auto" w:fill="auto"/>
            <w:noWrap/>
            <w:tcMar>
              <w:top w:w="72" w:type="dxa"/>
              <w:left w:w="115" w:type="dxa"/>
              <w:bottom w:w="72" w:type="dxa"/>
              <w:right w:w="115" w:type="dxa"/>
            </w:tcMar>
            <w:vAlign w:val="center"/>
            <w:hideMark/>
          </w:tcPr>
          <w:p w14:paraId="3F9AD352" w14:textId="24E23C98" w:rsidR="00FE02F3" w:rsidRPr="0038779F" w:rsidRDefault="00FE02F3" w:rsidP="00FE02F3">
            <w:pPr>
              <w:rPr>
                <w:rFonts w:ascii="Calibri" w:eastAsia="Times New Roman" w:hAnsi="Calibri" w:cs="Times New Roman"/>
                <w:i/>
                <w:sz w:val="20"/>
                <w:szCs w:val="20"/>
              </w:rPr>
            </w:pPr>
            <w:r w:rsidRPr="0038779F">
              <w:rPr>
                <w:rFonts w:ascii="Calibri" w:eastAsia="Times New Roman" w:hAnsi="Calibri" w:cs="Times New Roman"/>
                <w:i/>
                <w:sz w:val="20"/>
                <w:szCs w:val="20"/>
              </w:rPr>
              <w:t>Number of food covers / frequency of using food covers</w:t>
            </w:r>
          </w:p>
        </w:tc>
      </w:tr>
      <w:tr w:rsidR="00FE02F3" w:rsidRPr="00FE02F3" w14:paraId="7FBDA94B" w14:textId="77777777" w:rsidTr="00767C4E">
        <w:trPr>
          <w:trHeight w:val="728"/>
        </w:trPr>
        <w:tc>
          <w:tcPr>
            <w:tcW w:w="2355" w:type="dxa"/>
            <w:shd w:val="clear" w:color="auto" w:fill="auto"/>
            <w:tcMar>
              <w:top w:w="72" w:type="dxa"/>
              <w:left w:w="115" w:type="dxa"/>
              <w:bottom w:w="72" w:type="dxa"/>
              <w:right w:w="115" w:type="dxa"/>
            </w:tcMar>
            <w:vAlign w:val="center"/>
            <w:hideMark/>
          </w:tcPr>
          <w:p w14:paraId="572EB26C" w14:textId="77777777" w:rsidR="00FE02F3" w:rsidRPr="0038779F" w:rsidRDefault="00FE02F3" w:rsidP="00FE02F3">
            <w:pPr>
              <w:jc w:val="right"/>
              <w:rPr>
                <w:rFonts w:ascii="Calibri" w:eastAsia="Times New Roman" w:hAnsi="Calibri" w:cs="Times New Roman"/>
                <w:sz w:val="20"/>
                <w:szCs w:val="20"/>
              </w:rPr>
            </w:pPr>
            <w:r w:rsidRPr="0038779F">
              <w:rPr>
                <w:rFonts w:ascii="Calibri" w:eastAsia="Times New Roman" w:hAnsi="Calibri" w:cs="Times New Roman"/>
                <w:sz w:val="20"/>
                <w:szCs w:val="20"/>
              </w:rPr>
              <w:t>DEFECATION</w:t>
            </w:r>
          </w:p>
        </w:tc>
        <w:tc>
          <w:tcPr>
            <w:tcW w:w="7380" w:type="dxa"/>
            <w:shd w:val="clear" w:color="auto" w:fill="auto"/>
            <w:tcMar>
              <w:top w:w="72" w:type="dxa"/>
              <w:left w:w="115" w:type="dxa"/>
              <w:bottom w:w="72" w:type="dxa"/>
              <w:right w:w="115" w:type="dxa"/>
            </w:tcMar>
            <w:vAlign w:val="center"/>
            <w:hideMark/>
          </w:tcPr>
          <w:p w14:paraId="357FB7DF" w14:textId="5CB1CD9A" w:rsidR="00FE02F3" w:rsidRPr="0038779F" w:rsidRDefault="00FE02F3" w:rsidP="00FE02F3">
            <w:pPr>
              <w:rPr>
                <w:rFonts w:ascii="Calibri" w:eastAsia="Times New Roman" w:hAnsi="Calibri" w:cs="Times New Roman"/>
                <w:i/>
                <w:color w:val="000000"/>
                <w:sz w:val="20"/>
                <w:szCs w:val="20"/>
              </w:rPr>
            </w:pPr>
            <w:r w:rsidRPr="0038779F">
              <w:rPr>
                <w:rFonts w:ascii="Calibri" w:eastAsia="Times New Roman" w:hAnsi="Calibri" w:cs="Times New Roman"/>
                <w:i/>
                <w:color w:val="000000"/>
                <w:sz w:val="20"/>
                <w:szCs w:val="20"/>
              </w:rPr>
              <w:t>Access to a functioning latrine / Where neighbours defecate / Reasons for using a latrine / Reasons for open defecation / Disposal of infant faeces / Changes in behaviour at night / Main difficulty for constructing latrines / emptying latrine pits</w:t>
            </w:r>
          </w:p>
        </w:tc>
      </w:tr>
      <w:tr w:rsidR="00FE02F3" w:rsidRPr="00FE02F3" w14:paraId="04B8CD6A" w14:textId="77777777" w:rsidTr="00767C4E">
        <w:trPr>
          <w:trHeight w:val="560"/>
        </w:trPr>
        <w:tc>
          <w:tcPr>
            <w:tcW w:w="2355" w:type="dxa"/>
            <w:shd w:val="clear" w:color="auto" w:fill="auto"/>
            <w:noWrap/>
            <w:tcMar>
              <w:top w:w="72" w:type="dxa"/>
              <w:left w:w="115" w:type="dxa"/>
              <w:bottom w:w="72" w:type="dxa"/>
              <w:right w:w="115" w:type="dxa"/>
            </w:tcMar>
            <w:vAlign w:val="center"/>
            <w:hideMark/>
          </w:tcPr>
          <w:p w14:paraId="3DD7D57F" w14:textId="77777777" w:rsidR="00FE02F3" w:rsidRPr="0038779F" w:rsidRDefault="00FE02F3" w:rsidP="00FE02F3">
            <w:pPr>
              <w:jc w:val="right"/>
              <w:rPr>
                <w:rFonts w:ascii="Calibri" w:eastAsia="Times New Roman" w:hAnsi="Calibri" w:cs="Times New Roman"/>
                <w:sz w:val="20"/>
                <w:szCs w:val="20"/>
              </w:rPr>
            </w:pPr>
            <w:r w:rsidRPr="0038779F">
              <w:rPr>
                <w:rFonts w:ascii="Calibri" w:eastAsia="Times New Roman" w:hAnsi="Calibri" w:cs="Times New Roman"/>
                <w:sz w:val="20"/>
                <w:szCs w:val="20"/>
              </w:rPr>
              <w:t>SOLID WASTE DISPOSAL</w:t>
            </w:r>
          </w:p>
        </w:tc>
        <w:tc>
          <w:tcPr>
            <w:tcW w:w="7380" w:type="dxa"/>
            <w:shd w:val="clear" w:color="auto" w:fill="auto"/>
            <w:tcMar>
              <w:top w:w="72" w:type="dxa"/>
              <w:left w:w="115" w:type="dxa"/>
              <w:bottom w:w="72" w:type="dxa"/>
              <w:right w:w="115" w:type="dxa"/>
            </w:tcMar>
            <w:vAlign w:val="center"/>
            <w:hideMark/>
          </w:tcPr>
          <w:p w14:paraId="1C264F31" w14:textId="77777777" w:rsidR="00FE02F3" w:rsidRPr="00E64758" w:rsidRDefault="00FE02F3" w:rsidP="00FE02F3">
            <w:pPr>
              <w:rPr>
                <w:rFonts w:ascii="Calibri" w:eastAsia="Times New Roman" w:hAnsi="Calibri" w:cs="Times New Roman"/>
                <w:i/>
                <w:color w:val="000000"/>
                <w:sz w:val="20"/>
                <w:szCs w:val="20"/>
              </w:rPr>
            </w:pPr>
            <w:r w:rsidRPr="00E64758">
              <w:rPr>
                <w:rFonts w:ascii="Calibri" w:eastAsia="Times New Roman" w:hAnsi="Calibri" w:cs="Times New Roman"/>
                <w:i/>
                <w:color w:val="000000"/>
                <w:sz w:val="20"/>
                <w:szCs w:val="20"/>
              </w:rPr>
              <w:t>Disposal points / Whether solid waste is a community problem / problems caused by solid waste</w:t>
            </w:r>
          </w:p>
        </w:tc>
      </w:tr>
      <w:tr w:rsidR="00FE02F3" w:rsidRPr="00FE02F3" w14:paraId="052CB3F3" w14:textId="77777777" w:rsidTr="00767C4E">
        <w:trPr>
          <w:trHeight w:val="422"/>
        </w:trPr>
        <w:tc>
          <w:tcPr>
            <w:tcW w:w="2355" w:type="dxa"/>
            <w:shd w:val="clear" w:color="auto" w:fill="auto"/>
            <w:tcMar>
              <w:top w:w="72" w:type="dxa"/>
              <w:left w:w="115" w:type="dxa"/>
              <w:bottom w:w="72" w:type="dxa"/>
              <w:right w:w="115" w:type="dxa"/>
            </w:tcMar>
            <w:vAlign w:val="center"/>
            <w:hideMark/>
          </w:tcPr>
          <w:p w14:paraId="40AD2157" w14:textId="77777777" w:rsidR="00FE02F3" w:rsidRPr="0038779F" w:rsidRDefault="00FE02F3" w:rsidP="00FE02F3">
            <w:pPr>
              <w:jc w:val="right"/>
              <w:rPr>
                <w:rFonts w:ascii="Calibri" w:eastAsia="Times New Roman" w:hAnsi="Calibri" w:cs="Times New Roman"/>
                <w:sz w:val="20"/>
                <w:szCs w:val="20"/>
              </w:rPr>
            </w:pPr>
            <w:r w:rsidRPr="0038779F">
              <w:rPr>
                <w:rFonts w:ascii="Calibri" w:eastAsia="Times New Roman" w:hAnsi="Calibri" w:cs="Times New Roman"/>
                <w:sz w:val="20"/>
                <w:szCs w:val="20"/>
              </w:rPr>
              <w:t xml:space="preserve">BATHING AREAS </w:t>
            </w:r>
          </w:p>
        </w:tc>
        <w:tc>
          <w:tcPr>
            <w:tcW w:w="7380" w:type="dxa"/>
            <w:shd w:val="clear" w:color="auto" w:fill="auto"/>
            <w:tcMar>
              <w:top w:w="72" w:type="dxa"/>
              <w:left w:w="115" w:type="dxa"/>
              <w:bottom w:w="72" w:type="dxa"/>
              <w:right w:w="115" w:type="dxa"/>
            </w:tcMar>
            <w:vAlign w:val="center"/>
            <w:hideMark/>
          </w:tcPr>
          <w:p w14:paraId="4CE4EB89" w14:textId="77777777" w:rsidR="00FE02F3" w:rsidRPr="00E64758" w:rsidRDefault="00FE02F3" w:rsidP="00FE02F3">
            <w:pPr>
              <w:rPr>
                <w:rFonts w:ascii="Calibri" w:eastAsia="Times New Roman" w:hAnsi="Calibri" w:cs="Times New Roman"/>
                <w:i/>
                <w:color w:val="000000"/>
                <w:sz w:val="20"/>
                <w:szCs w:val="20"/>
              </w:rPr>
            </w:pPr>
            <w:r w:rsidRPr="00E64758">
              <w:rPr>
                <w:rFonts w:ascii="Calibri" w:eastAsia="Times New Roman" w:hAnsi="Calibri" w:cs="Times New Roman"/>
                <w:i/>
                <w:color w:val="000000"/>
                <w:sz w:val="20"/>
                <w:szCs w:val="20"/>
              </w:rPr>
              <w:t>Location of facilities / Reasons for constructing a private bathing area / reasons for not having a private bathing area</w:t>
            </w:r>
          </w:p>
        </w:tc>
      </w:tr>
      <w:tr w:rsidR="00FE02F3" w:rsidRPr="00FE02F3" w14:paraId="49B9EC61" w14:textId="77777777" w:rsidTr="00767C4E">
        <w:trPr>
          <w:trHeight w:val="593"/>
        </w:trPr>
        <w:tc>
          <w:tcPr>
            <w:tcW w:w="2355" w:type="dxa"/>
            <w:shd w:val="clear" w:color="auto" w:fill="auto"/>
            <w:tcMar>
              <w:top w:w="72" w:type="dxa"/>
              <w:left w:w="115" w:type="dxa"/>
              <w:bottom w:w="72" w:type="dxa"/>
              <w:right w:w="115" w:type="dxa"/>
            </w:tcMar>
            <w:vAlign w:val="center"/>
            <w:hideMark/>
          </w:tcPr>
          <w:p w14:paraId="1F002834" w14:textId="3077A9DE" w:rsidR="00FE02F3" w:rsidRPr="0038779F" w:rsidRDefault="00767C4E" w:rsidP="00FE02F3">
            <w:pPr>
              <w:jc w:val="right"/>
              <w:rPr>
                <w:rFonts w:ascii="Calibri" w:eastAsia="Times New Roman" w:hAnsi="Calibri" w:cs="Times New Roman"/>
                <w:sz w:val="20"/>
                <w:szCs w:val="20"/>
              </w:rPr>
            </w:pPr>
            <w:r w:rsidRPr="0038779F">
              <w:rPr>
                <w:rFonts w:ascii="Calibri" w:eastAsia="Times New Roman" w:hAnsi="Calibri" w:cs="Times New Roman"/>
                <w:sz w:val="20"/>
                <w:szCs w:val="20"/>
              </w:rPr>
              <w:t xml:space="preserve">MENSTRUAL </w:t>
            </w:r>
            <w:proofErr w:type="gramStart"/>
            <w:r w:rsidRPr="0038779F">
              <w:rPr>
                <w:rFonts w:ascii="Calibri" w:eastAsia="Times New Roman" w:hAnsi="Calibri" w:cs="Times New Roman"/>
                <w:sz w:val="20"/>
                <w:szCs w:val="20"/>
              </w:rPr>
              <w:t>HYGIENE</w:t>
            </w:r>
            <w:r w:rsidR="00FE02F3" w:rsidRPr="0038779F">
              <w:rPr>
                <w:rFonts w:ascii="Calibri" w:eastAsia="Times New Roman" w:hAnsi="Calibri" w:cs="Times New Roman"/>
                <w:sz w:val="20"/>
                <w:szCs w:val="20"/>
              </w:rPr>
              <w:t xml:space="preserve">              </w:t>
            </w:r>
            <w:proofErr w:type="gramEnd"/>
          </w:p>
        </w:tc>
        <w:tc>
          <w:tcPr>
            <w:tcW w:w="7380" w:type="dxa"/>
            <w:shd w:val="clear" w:color="auto" w:fill="auto"/>
            <w:tcMar>
              <w:top w:w="72" w:type="dxa"/>
              <w:left w:w="115" w:type="dxa"/>
              <w:bottom w:w="72" w:type="dxa"/>
              <w:right w:w="115" w:type="dxa"/>
            </w:tcMar>
            <w:vAlign w:val="center"/>
            <w:hideMark/>
          </w:tcPr>
          <w:p w14:paraId="64130BD6" w14:textId="53CDD22F" w:rsidR="00FE02F3" w:rsidRPr="00E64758" w:rsidRDefault="00FE02F3" w:rsidP="00FE02F3">
            <w:pPr>
              <w:rPr>
                <w:rFonts w:ascii="Calibri" w:eastAsia="Times New Roman" w:hAnsi="Calibri" w:cs="Times New Roman"/>
                <w:i/>
                <w:color w:val="000000"/>
                <w:sz w:val="20"/>
                <w:szCs w:val="20"/>
              </w:rPr>
            </w:pPr>
            <w:r w:rsidRPr="00E64758">
              <w:rPr>
                <w:rFonts w:ascii="Calibri" w:eastAsia="Times New Roman" w:hAnsi="Calibri" w:cs="Times New Roman"/>
                <w:i/>
                <w:color w:val="000000"/>
                <w:sz w:val="20"/>
                <w:szCs w:val="20"/>
              </w:rPr>
              <w:t>Sanitary materials used before conflict and now / Reasons for changes in sanitary behaviour / Drying traditional cloths / Whether HH receives sanitary products / Replacement behaviour / personal preference / disposal of napkins</w:t>
            </w:r>
          </w:p>
        </w:tc>
      </w:tr>
    </w:tbl>
    <w:p w14:paraId="47339BCF" w14:textId="74AEE5A5" w:rsidR="00367577" w:rsidRPr="00367577" w:rsidRDefault="00367577" w:rsidP="00BE0079">
      <w:pPr>
        <w:pStyle w:val="Heading2"/>
        <w:spacing w:after="120"/>
        <w:rPr>
          <w:color w:val="548DD4" w:themeColor="text2" w:themeTint="99"/>
          <w:sz w:val="24"/>
          <w:szCs w:val="24"/>
        </w:rPr>
      </w:pPr>
      <w:bookmarkStart w:id="18" w:name="_Toc292703943"/>
      <w:bookmarkStart w:id="19" w:name="_Toc292704161"/>
      <w:bookmarkStart w:id="20" w:name="_Toc294273140"/>
      <w:r w:rsidRPr="00367577">
        <w:rPr>
          <w:color w:val="548DD4" w:themeColor="text2" w:themeTint="99"/>
          <w:sz w:val="24"/>
          <w:szCs w:val="24"/>
        </w:rPr>
        <w:t>Training of Enumerators</w:t>
      </w:r>
      <w:bookmarkEnd w:id="18"/>
      <w:bookmarkEnd w:id="19"/>
      <w:bookmarkEnd w:id="20"/>
    </w:p>
    <w:p w14:paraId="6ABEE4C5" w14:textId="77C9EEE5" w:rsidR="00CD31C2" w:rsidRPr="004C42CF" w:rsidRDefault="00367577" w:rsidP="00BE0079">
      <w:pPr>
        <w:spacing w:after="120"/>
        <w:jc w:val="both"/>
        <w:rPr>
          <w:rFonts w:asciiTheme="majorHAnsi" w:eastAsiaTheme="majorEastAsia" w:hAnsiTheme="majorHAnsi" w:cstheme="majorBidi"/>
          <w:bCs/>
        </w:rPr>
      </w:pPr>
      <w:r w:rsidRPr="004C42CF">
        <w:rPr>
          <w:rFonts w:asciiTheme="majorHAnsi" w:eastAsiaTheme="majorEastAsia" w:hAnsiTheme="majorHAnsi" w:cstheme="majorBidi"/>
          <w:bCs/>
        </w:rPr>
        <w:t>The four DfID implementing partners provided 20 enume</w:t>
      </w:r>
      <w:r w:rsidR="00071E3C" w:rsidRPr="004C42CF">
        <w:rPr>
          <w:rFonts w:asciiTheme="majorHAnsi" w:eastAsiaTheme="majorEastAsia" w:hAnsiTheme="majorHAnsi" w:cstheme="majorBidi"/>
          <w:bCs/>
        </w:rPr>
        <w:t>rators [19 Muslim and 1 Rakhine</w:t>
      </w:r>
      <w:r w:rsidRPr="004C42CF">
        <w:rPr>
          <w:rFonts w:asciiTheme="majorHAnsi" w:eastAsiaTheme="majorEastAsia" w:hAnsiTheme="majorHAnsi" w:cstheme="majorBidi"/>
          <w:bCs/>
        </w:rPr>
        <w:t>; 6 female &amp; 14 female] for data collection</w:t>
      </w:r>
      <w:r w:rsidR="0038779F" w:rsidRPr="004C42CF">
        <w:rPr>
          <w:rFonts w:asciiTheme="majorHAnsi" w:eastAsiaTheme="majorEastAsia" w:hAnsiTheme="majorHAnsi" w:cstheme="majorBidi"/>
          <w:bCs/>
        </w:rPr>
        <w:t xml:space="preserve"> selected from project staff that </w:t>
      </w:r>
      <w:r w:rsidR="00CD31C2" w:rsidRPr="004C42CF">
        <w:rPr>
          <w:rFonts w:asciiTheme="majorHAnsi" w:eastAsiaTheme="majorEastAsia" w:hAnsiTheme="majorHAnsi" w:cstheme="majorBidi"/>
          <w:bCs/>
        </w:rPr>
        <w:t xml:space="preserve">had </w:t>
      </w:r>
      <w:r w:rsidR="0038779F" w:rsidRPr="004C42CF">
        <w:rPr>
          <w:rFonts w:asciiTheme="majorHAnsi" w:eastAsiaTheme="majorEastAsia" w:hAnsiTheme="majorHAnsi" w:cstheme="majorBidi"/>
          <w:bCs/>
        </w:rPr>
        <w:t xml:space="preserve">been </w:t>
      </w:r>
      <w:r w:rsidR="00CD31C2" w:rsidRPr="004C42CF">
        <w:rPr>
          <w:rFonts w:asciiTheme="majorHAnsi" w:eastAsiaTheme="majorEastAsia" w:hAnsiTheme="majorHAnsi" w:cstheme="majorBidi"/>
          <w:bCs/>
        </w:rPr>
        <w:t>actively participated in providing hygiene promotion activities to the target communities</w:t>
      </w:r>
      <w:r w:rsidR="0038779F" w:rsidRPr="004C42CF">
        <w:rPr>
          <w:rFonts w:asciiTheme="majorHAnsi" w:eastAsiaTheme="majorEastAsia" w:hAnsiTheme="majorHAnsi" w:cstheme="majorBidi"/>
          <w:bCs/>
        </w:rPr>
        <w:t xml:space="preserve">. </w:t>
      </w:r>
      <w:r w:rsidRPr="004C42CF">
        <w:rPr>
          <w:rFonts w:asciiTheme="majorHAnsi" w:eastAsiaTheme="majorEastAsia" w:hAnsiTheme="majorHAnsi" w:cstheme="majorBidi"/>
          <w:bCs/>
        </w:rPr>
        <w:t>Training was conducted on Thursday 30</w:t>
      </w:r>
      <w:r w:rsidRPr="004C42CF">
        <w:rPr>
          <w:rFonts w:asciiTheme="majorHAnsi" w:eastAsiaTheme="majorEastAsia" w:hAnsiTheme="majorHAnsi" w:cstheme="majorBidi"/>
          <w:bCs/>
          <w:vertAlign w:val="superscript"/>
        </w:rPr>
        <w:t>th</w:t>
      </w:r>
      <w:r w:rsidRPr="004C42CF">
        <w:rPr>
          <w:rFonts w:asciiTheme="majorHAnsi" w:eastAsiaTheme="majorEastAsia" w:hAnsiTheme="majorHAnsi" w:cstheme="majorBidi"/>
          <w:bCs/>
        </w:rPr>
        <w:t xml:space="preserve"> April and Saturday 2</w:t>
      </w:r>
      <w:r w:rsidRPr="004C42CF">
        <w:rPr>
          <w:rFonts w:asciiTheme="majorHAnsi" w:eastAsiaTheme="majorEastAsia" w:hAnsiTheme="majorHAnsi" w:cstheme="majorBidi"/>
          <w:bCs/>
          <w:vertAlign w:val="superscript"/>
        </w:rPr>
        <w:t>nd</w:t>
      </w:r>
      <w:r w:rsidRPr="004C42CF">
        <w:rPr>
          <w:rFonts w:asciiTheme="majorHAnsi" w:eastAsiaTheme="majorEastAsia" w:hAnsiTheme="majorHAnsi" w:cstheme="majorBidi"/>
          <w:bCs/>
        </w:rPr>
        <w:t xml:space="preserve"> May </w:t>
      </w:r>
      <w:r w:rsidR="009E4175" w:rsidRPr="004C42CF">
        <w:rPr>
          <w:rFonts w:asciiTheme="majorHAnsi" w:eastAsiaTheme="majorEastAsia" w:hAnsiTheme="majorHAnsi" w:cstheme="majorBidi"/>
          <w:bCs/>
        </w:rPr>
        <w:t>and Monday 4</w:t>
      </w:r>
      <w:r w:rsidR="009E4175" w:rsidRPr="004C42CF">
        <w:rPr>
          <w:rFonts w:asciiTheme="majorHAnsi" w:eastAsiaTheme="majorEastAsia" w:hAnsiTheme="majorHAnsi" w:cstheme="majorBidi"/>
          <w:bCs/>
          <w:vertAlign w:val="superscript"/>
        </w:rPr>
        <w:t>th</w:t>
      </w:r>
      <w:r w:rsidR="009E4175" w:rsidRPr="004C42CF">
        <w:rPr>
          <w:rFonts w:asciiTheme="majorHAnsi" w:eastAsiaTheme="majorEastAsia" w:hAnsiTheme="majorHAnsi" w:cstheme="majorBidi"/>
          <w:bCs/>
        </w:rPr>
        <w:t xml:space="preserve"> May </w:t>
      </w:r>
      <w:r w:rsidRPr="004C42CF">
        <w:rPr>
          <w:rFonts w:asciiTheme="majorHAnsi" w:eastAsiaTheme="majorEastAsia" w:hAnsiTheme="majorHAnsi" w:cstheme="majorBidi"/>
          <w:bCs/>
        </w:rPr>
        <w:t xml:space="preserve">2015 at the Save the Children sub-office in Tet Kael Pyin village. </w:t>
      </w:r>
      <w:r w:rsidR="00CD31C2" w:rsidRPr="004C42CF">
        <w:rPr>
          <w:rFonts w:asciiTheme="majorHAnsi" w:eastAsiaTheme="majorEastAsia" w:hAnsiTheme="majorHAnsi" w:cstheme="majorBidi"/>
          <w:bCs/>
        </w:rPr>
        <w:t xml:space="preserve">Although there </w:t>
      </w:r>
      <w:r w:rsidR="009E4175" w:rsidRPr="004C42CF">
        <w:rPr>
          <w:rFonts w:asciiTheme="majorHAnsi" w:eastAsiaTheme="majorEastAsia" w:hAnsiTheme="majorHAnsi" w:cstheme="majorBidi"/>
          <w:bCs/>
        </w:rPr>
        <w:t>we</w:t>
      </w:r>
      <w:r w:rsidR="00E64758" w:rsidRPr="004C42CF">
        <w:rPr>
          <w:rFonts w:asciiTheme="majorHAnsi" w:eastAsiaTheme="majorEastAsia" w:hAnsiTheme="majorHAnsi" w:cstheme="majorBidi"/>
          <w:bCs/>
        </w:rPr>
        <w:t>re 4</w:t>
      </w:r>
      <w:r w:rsidR="00CD31C2" w:rsidRPr="004C42CF">
        <w:rPr>
          <w:rFonts w:asciiTheme="majorHAnsi" w:eastAsiaTheme="majorEastAsia" w:hAnsiTheme="majorHAnsi" w:cstheme="majorBidi"/>
          <w:bCs/>
        </w:rPr>
        <w:t xml:space="preserve"> or </w:t>
      </w:r>
      <w:r w:rsidR="00E64758" w:rsidRPr="004C42CF">
        <w:rPr>
          <w:rFonts w:asciiTheme="majorHAnsi" w:eastAsiaTheme="majorEastAsia" w:hAnsiTheme="majorHAnsi" w:cstheme="majorBidi"/>
          <w:bCs/>
        </w:rPr>
        <w:t>5</w:t>
      </w:r>
      <w:r w:rsidR="00CD31C2" w:rsidRPr="004C42CF">
        <w:rPr>
          <w:rFonts w:asciiTheme="majorHAnsi" w:eastAsiaTheme="majorEastAsia" w:hAnsiTheme="majorHAnsi" w:cstheme="majorBidi"/>
          <w:bCs/>
        </w:rPr>
        <w:t xml:space="preserve"> experienced enumerators amongst the group, 12 of them had never conducted a survey before.</w:t>
      </w:r>
      <w:r w:rsidR="009E4175" w:rsidRPr="004C42CF">
        <w:rPr>
          <w:rFonts w:asciiTheme="majorHAnsi" w:eastAsiaTheme="majorEastAsia" w:hAnsiTheme="majorHAnsi" w:cstheme="majorBidi"/>
          <w:bCs/>
        </w:rPr>
        <w:t xml:space="preserve"> The table be</w:t>
      </w:r>
      <w:r w:rsidR="00071E3C" w:rsidRPr="004C42CF">
        <w:rPr>
          <w:rFonts w:asciiTheme="majorHAnsi" w:eastAsiaTheme="majorEastAsia" w:hAnsiTheme="majorHAnsi" w:cstheme="majorBidi"/>
          <w:bCs/>
        </w:rPr>
        <w:t xml:space="preserve">low summarizes the 2 and-a-half </w:t>
      </w:r>
      <w:r w:rsidR="009E4175" w:rsidRPr="004C42CF">
        <w:rPr>
          <w:rFonts w:asciiTheme="majorHAnsi" w:eastAsiaTheme="majorEastAsia" w:hAnsiTheme="majorHAnsi" w:cstheme="majorBidi"/>
          <w:bCs/>
        </w:rPr>
        <w:t>day training</w:t>
      </w:r>
      <w:r w:rsidR="00071E3C" w:rsidRPr="004C42CF">
        <w:rPr>
          <w:rFonts w:asciiTheme="majorHAnsi" w:eastAsiaTheme="majorEastAsia" w:hAnsiTheme="majorHAnsi" w:cstheme="majorBidi"/>
          <w:bCs/>
        </w:rPr>
        <w:t>.</w:t>
      </w:r>
    </w:p>
    <w:p w14:paraId="21ED2F77" w14:textId="1CFD435D" w:rsidR="00367577" w:rsidRPr="00367577" w:rsidRDefault="00367577" w:rsidP="00CD31C2">
      <w:pPr>
        <w:spacing w:after="120"/>
        <w:jc w:val="both"/>
        <w:rPr>
          <w:rFonts w:asciiTheme="majorHAnsi" w:eastAsiaTheme="majorEastAsia" w:hAnsiTheme="majorHAnsi" w:cstheme="majorBidi"/>
          <w:bCs/>
          <w:sz w:val="22"/>
          <w:szCs w:val="22"/>
        </w:rPr>
      </w:pPr>
      <w:r>
        <w:rPr>
          <w:rFonts w:asciiTheme="majorHAnsi" w:eastAsiaTheme="majorEastAsia" w:hAnsiTheme="majorHAnsi" w:cstheme="majorBidi"/>
          <w:bCs/>
          <w:sz w:val="22"/>
          <w:szCs w:val="22"/>
        </w:rPr>
        <w:t xml:space="preserve"> </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74"/>
        <w:gridCol w:w="5184"/>
        <w:gridCol w:w="2950"/>
      </w:tblGrid>
      <w:tr w:rsidR="008110BE" w:rsidRPr="009E4175" w14:paraId="7A0F86C0" w14:textId="77777777" w:rsidTr="00290D65">
        <w:trPr>
          <w:trHeight w:val="404"/>
          <w:jc w:val="center"/>
        </w:trPr>
        <w:tc>
          <w:tcPr>
            <w:tcW w:w="774" w:type="dxa"/>
            <w:tcBorders>
              <w:top w:val="nil"/>
              <w:bottom w:val="single" w:sz="4" w:space="0" w:color="000000" w:themeColor="text1"/>
            </w:tcBorders>
            <w:shd w:val="clear" w:color="auto" w:fill="auto"/>
            <w:vAlign w:val="center"/>
          </w:tcPr>
          <w:p w14:paraId="52053E3F" w14:textId="734BB21D" w:rsidR="008110BE" w:rsidRPr="009E4175" w:rsidRDefault="008110BE" w:rsidP="008110BE">
            <w:pPr>
              <w:jc w:val="center"/>
              <w:rPr>
                <w:rFonts w:asciiTheme="majorHAnsi" w:eastAsiaTheme="majorEastAsia" w:hAnsiTheme="majorHAnsi" w:cstheme="majorBidi"/>
                <w:b/>
                <w:bCs/>
                <w:sz w:val="20"/>
                <w:szCs w:val="20"/>
              </w:rPr>
            </w:pPr>
            <w:r w:rsidRPr="009E4175">
              <w:rPr>
                <w:rFonts w:asciiTheme="majorHAnsi" w:eastAsiaTheme="majorEastAsia" w:hAnsiTheme="majorHAnsi" w:cstheme="majorBidi"/>
                <w:b/>
                <w:bCs/>
                <w:sz w:val="20"/>
                <w:szCs w:val="20"/>
              </w:rPr>
              <w:t>Day</w:t>
            </w:r>
          </w:p>
        </w:tc>
        <w:tc>
          <w:tcPr>
            <w:tcW w:w="5184" w:type="dxa"/>
            <w:tcBorders>
              <w:top w:val="nil"/>
              <w:bottom w:val="single" w:sz="4" w:space="0" w:color="000000" w:themeColor="text1"/>
            </w:tcBorders>
            <w:shd w:val="clear" w:color="auto" w:fill="auto"/>
            <w:vAlign w:val="center"/>
          </w:tcPr>
          <w:p w14:paraId="2E31C9FC" w14:textId="46175451" w:rsidR="008110BE" w:rsidRPr="009E4175" w:rsidRDefault="008110BE" w:rsidP="008110BE">
            <w:pPr>
              <w:jc w:val="center"/>
              <w:rPr>
                <w:rFonts w:asciiTheme="majorHAnsi" w:eastAsiaTheme="majorEastAsia" w:hAnsiTheme="majorHAnsi" w:cstheme="majorBidi"/>
                <w:b/>
                <w:bCs/>
                <w:sz w:val="20"/>
                <w:szCs w:val="20"/>
              </w:rPr>
            </w:pPr>
            <w:r w:rsidRPr="009E4175">
              <w:rPr>
                <w:rFonts w:asciiTheme="majorHAnsi" w:eastAsiaTheme="majorEastAsia" w:hAnsiTheme="majorHAnsi" w:cstheme="majorBidi"/>
                <w:b/>
                <w:bCs/>
                <w:sz w:val="20"/>
                <w:szCs w:val="20"/>
              </w:rPr>
              <w:t>Activity</w:t>
            </w:r>
          </w:p>
        </w:tc>
        <w:tc>
          <w:tcPr>
            <w:tcW w:w="2950" w:type="dxa"/>
            <w:tcBorders>
              <w:top w:val="nil"/>
              <w:bottom w:val="single" w:sz="4" w:space="0" w:color="000000" w:themeColor="text1"/>
            </w:tcBorders>
            <w:shd w:val="clear" w:color="auto" w:fill="auto"/>
            <w:vAlign w:val="center"/>
          </w:tcPr>
          <w:p w14:paraId="471E8CE2" w14:textId="17C88B76" w:rsidR="008110BE" w:rsidRPr="009E4175" w:rsidRDefault="008110BE" w:rsidP="008110BE">
            <w:pPr>
              <w:jc w:val="center"/>
              <w:rPr>
                <w:rFonts w:asciiTheme="majorHAnsi" w:eastAsiaTheme="majorEastAsia" w:hAnsiTheme="majorHAnsi" w:cstheme="majorBidi"/>
                <w:b/>
                <w:bCs/>
                <w:sz w:val="20"/>
                <w:szCs w:val="20"/>
              </w:rPr>
            </w:pPr>
            <w:r w:rsidRPr="009E4175">
              <w:rPr>
                <w:rFonts w:asciiTheme="majorHAnsi" w:eastAsiaTheme="majorEastAsia" w:hAnsiTheme="majorHAnsi" w:cstheme="majorBidi"/>
                <w:b/>
                <w:bCs/>
                <w:sz w:val="20"/>
                <w:szCs w:val="20"/>
              </w:rPr>
              <w:t>Remark</w:t>
            </w:r>
          </w:p>
        </w:tc>
      </w:tr>
      <w:tr w:rsidR="008110BE" w:rsidRPr="008710E2" w14:paraId="11CEBEA4" w14:textId="77777777" w:rsidTr="0038779F">
        <w:trPr>
          <w:trHeight w:val="1115"/>
          <w:jc w:val="center"/>
        </w:trPr>
        <w:tc>
          <w:tcPr>
            <w:tcW w:w="774" w:type="dxa"/>
            <w:tcBorders>
              <w:top w:val="single" w:sz="4" w:space="0" w:color="000000" w:themeColor="text1"/>
            </w:tcBorders>
            <w:tcMar>
              <w:top w:w="72" w:type="dxa"/>
              <w:left w:w="115" w:type="dxa"/>
              <w:bottom w:w="43" w:type="dxa"/>
              <w:right w:w="115" w:type="dxa"/>
            </w:tcMar>
            <w:vAlign w:val="center"/>
          </w:tcPr>
          <w:p w14:paraId="16EC9485" w14:textId="167CDEB0" w:rsidR="008110BE" w:rsidRPr="008110BE" w:rsidRDefault="008110BE" w:rsidP="00290D65">
            <w:pPr>
              <w:spacing w:after="120"/>
              <w:rPr>
                <w:rFonts w:asciiTheme="majorHAnsi" w:eastAsiaTheme="majorEastAsia" w:hAnsiTheme="majorHAnsi" w:cstheme="majorBidi"/>
                <w:bCs/>
                <w:sz w:val="20"/>
                <w:szCs w:val="20"/>
              </w:rPr>
            </w:pPr>
            <w:r w:rsidRPr="008110BE">
              <w:rPr>
                <w:rFonts w:asciiTheme="majorHAnsi" w:eastAsiaTheme="majorEastAsia" w:hAnsiTheme="majorHAnsi" w:cstheme="majorBidi"/>
                <w:bCs/>
                <w:sz w:val="20"/>
                <w:szCs w:val="20"/>
              </w:rPr>
              <w:t>Day 1</w:t>
            </w:r>
          </w:p>
        </w:tc>
        <w:tc>
          <w:tcPr>
            <w:tcW w:w="5184" w:type="dxa"/>
            <w:tcBorders>
              <w:top w:val="single" w:sz="4" w:space="0" w:color="000000" w:themeColor="text1"/>
            </w:tcBorders>
            <w:tcMar>
              <w:top w:w="144" w:type="dxa"/>
              <w:left w:w="115" w:type="dxa"/>
              <w:bottom w:w="43" w:type="dxa"/>
              <w:right w:w="115" w:type="dxa"/>
            </w:tcMar>
          </w:tcPr>
          <w:p w14:paraId="5619AECF" w14:textId="68B00764" w:rsidR="008110BE" w:rsidRPr="008110BE" w:rsidRDefault="008110BE" w:rsidP="00290D65">
            <w:pPr>
              <w:pStyle w:val="ListParagraph"/>
              <w:numPr>
                <w:ilvl w:val="0"/>
                <w:numId w:val="2"/>
              </w:numPr>
              <w:spacing w:after="120"/>
              <w:ind w:left="432"/>
              <w:jc w:val="left"/>
              <w:rPr>
                <w:rFonts w:asciiTheme="majorHAnsi" w:eastAsiaTheme="majorEastAsia" w:hAnsiTheme="majorHAnsi" w:cstheme="majorBidi"/>
                <w:bCs/>
                <w:sz w:val="20"/>
                <w:szCs w:val="20"/>
              </w:rPr>
            </w:pPr>
            <w:r w:rsidRPr="008110BE">
              <w:rPr>
                <w:rFonts w:asciiTheme="majorHAnsi" w:eastAsiaTheme="majorEastAsia" w:hAnsiTheme="majorHAnsi" w:cstheme="majorBidi"/>
                <w:bCs/>
                <w:sz w:val="20"/>
                <w:szCs w:val="20"/>
              </w:rPr>
              <w:t>Introduction to the main concepts behind</w:t>
            </w:r>
            <w:r w:rsidR="00290D65">
              <w:rPr>
                <w:rFonts w:asciiTheme="majorHAnsi" w:eastAsiaTheme="majorEastAsia" w:hAnsiTheme="majorHAnsi" w:cstheme="majorBidi"/>
                <w:bCs/>
                <w:sz w:val="20"/>
                <w:szCs w:val="20"/>
              </w:rPr>
              <w:t xml:space="preserve"> KAP surveys</w:t>
            </w:r>
          </w:p>
          <w:p w14:paraId="0D0A6C64" w14:textId="7B4DC77F" w:rsidR="008110BE" w:rsidRPr="008110BE" w:rsidRDefault="008110BE" w:rsidP="00290D65">
            <w:pPr>
              <w:pStyle w:val="ListParagraph"/>
              <w:numPr>
                <w:ilvl w:val="0"/>
                <w:numId w:val="2"/>
              </w:numPr>
              <w:spacing w:after="120"/>
              <w:ind w:left="432"/>
              <w:jc w:val="left"/>
              <w:rPr>
                <w:rFonts w:asciiTheme="majorHAnsi" w:eastAsiaTheme="majorEastAsia" w:hAnsiTheme="majorHAnsi" w:cstheme="majorBidi"/>
                <w:bCs/>
                <w:sz w:val="20"/>
                <w:szCs w:val="20"/>
              </w:rPr>
            </w:pPr>
            <w:r w:rsidRPr="008110BE">
              <w:rPr>
                <w:rFonts w:asciiTheme="majorHAnsi" w:eastAsiaTheme="majorEastAsia" w:hAnsiTheme="majorHAnsi" w:cstheme="majorBidi"/>
                <w:bCs/>
                <w:sz w:val="20"/>
                <w:szCs w:val="20"/>
              </w:rPr>
              <w:t>Discussion of the successful and less successful components of the DfID WASH project</w:t>
            </w:r>
          </w:p>
        </w:tc>
        <w:tc>
          <w:tcPr>
            <w:tcW w:w="2950" w:type="dxa"/>
            <w:tcBorders>
              <w:top w:val="single" w:sz="4" w:space="0" w:color="000000" w:themeColor="text1"/>
            </w:tcBorders>
            <w:tcMar>
              <w:top w:w="144" w:type="dxa"/>
              <w:left w:w="115" w:type="dxa"/>
              <w:bottom w:w="43" w:type="dxa"/>
              <w:right w:w="115" w:type="dxa"/>
            </w:tcMar>
          </w:tcPr>
          <w:p w14:paraId="220AB41E" w14:textId="77777777" w:rsidR="008110BE" w:rsidRPr="00290D65" w:rsidRDefault="008110BE" w:rsidP="00290D65">
            <w:pPr>
              <w:pStyle w:val="ListParagraph"/>
              <w:numPr>
                <w:ilvl w:val="0"/>
                <w:numId w:val="3"/>
              </w:numPr>
              <w:spacing w:after="120"/>
              <w:ind w:left="437"/>
              <w:jc w:val="left"/>
              <w:rPr>
                <w:rFonts w:asciiTheme="majorHAnsi" w:eastAsiaTheme="majorEastAsia" w:hAnsiTheme="majorHAnsi" w:cstheme="majorBidi"/>
                <w:bCs/>
                <w:sz w:val="20"/>
                <w:szCs w:val="20"/>
              </w:rPr>
            </w:pPr>
            <w:r w:rsidRPr="00290D65">
              <w:rPr>
                <w:rFonts w:asciiTheme="majorHAnsi" w:eastAsiaTheme="majorEastAsia" w:hAnsiTheme="majorHAnsi" w:cstheme="majorBidi"/>
                <w:bCs/>
                <w:sz w:val="20"/>
                <w:szCs w:val="20"/>
              </w:rPr>
              <w:t>12 enumerators without any survey experience</w:t>
            </w:r>
          </w:p>
          <w:p w14:paraId="7F26771C" w14:textId="327B1A80" w:rsidR="008110BE" w:rsidRPr="00290D65" w:rsidRDefault="008110BE" w:rsidP="00290D65">
            <w:pPr>
              <w:pStyle w:val="ListParagraph"/>
              <w:numPr>
                <w:ilvl w:val="0"/>
                <w:numId w:val="3"/>
              </w:numPr>
              <w:spacing w:after="120"/>
              <w:ind w:left="437"/>
              <w:jc w:val="left"/>
              <w:rPr>
                <w:rFonts w:asciiTheme="majorHAnsi" w:eastAsiaTheme="majorEastAsia" w:hAnsiTheme="majorHAnsi" w:cstheme="majorBidi"/>
                <w:bCs/>
                <w:sz w:val="20"/>
                <w:szCs w:val="20"/>
              </w:rPr>
            </w:pPr>
            <w:r w:rsidRPr="00290D65">
              <w:rPr>
                <w:rFonts w:asciiTheme="majorHAnsi" w:eastAsiaTheme="majorEastAsia" w:hAnsiTheme="majorHAnsi" w:cstheme="majorBidi"/>
                <w:bCs/>
                <w:sz w:val="20"/>
                <w:szCs w:val="20"/>
              </w:rPr>
              <w:t xml:space="preserve">6 female </w:t>
            </w:r>
            <w:r w:rsidR="00290D65" w:rsidRPr="00290D65">
              <w:rPr>
                <w:rFonts w:asciiTheme="majorHAnsi" w:eastAsiaTheme="majorEastAsia" w:hAnsiTheme="majorHAnsi" w:cstheme="majorBidi"/>
                <w:bCs/>
                <w:sz w:val="20"/>
                <w:szCs w:val="20"/>
              </w:rPr>
              <w:t>enumerators</w:t>
            </w:r>
          </w:p>
          <w:p w14:paraId="63ECE309" w14:textId="37B4643B" w:rsidR="00290D65" w:rsidRPr="00290D65" w:rsidRDefault="00290D65" w:rsidP="00290D65">
            <w:pPr>
              <w:pStyle w:val="ListParagraph"/>
              <w:numPr>
                <w:ilvl w:val="0"/>
                <w:numId w:val="3"/>
              </w:numPr>
              <w:spacing w:after="120"/>
              <w:ind w:left="437"/>
              <w:jc w:val="left"/>
              <w:rPr>
                <w:rFonts w:asciiTheme="majorHAnsi" w:eastAsiaTheme="majorEastAsia" w:hAnsiTheme="majorHAnsi" w:cstheme="majorBidi"/>
                <w:bCs/>
                <w:sz w:val="20"/>
                <w:szCs w:val="20"/>
              </w:rPr>
            </w:pPr>
            <w:r w:rsidRPr="00290D65">
              <w:rPr>
                <w:rFonts w:asciiTheme="majorHAnsi" w:eastAsiaTheme="majorEastAsia" w:hAnsiTheme="majorHAnsi" w:cstheme="majorBidi"/>
                <w:bCs/>
                <w:sz w:val="20"/>
                <w:szCs w:val="20"/>
              </w:rPr>
              <w:t>1 Rakhine enumerator</w:t>
            </w:r>
          </w:p>
        </w:tc>
      </w:tr>
      <w:tr w:rsidR="008110BE" w:rsidRPr="008710E2" w14:paraId="5A24F6A9" w14:textId="77777777" w:rsidTr="0038779F">
        <w:trPr>
          <w:trHeight w:val="1331"/>
          <w:jc w:val="center"/>
        </w:trPr>
        <w:tc>
          <w:tcPr>
            <w:tcW w:w="774" w:type="dxa"/>
            <w:tcMar>
              <w:top w:w="72" w:type="dxa"/>
              <w:left w:w="115" w:type="dxa"/>
              <w:bottom w:w="43" w:type="dxa"/>
              <w:right w:w="115" w:type="dxa"/>
            </w:tcMar>
            <w:vAlign w:val="center"/>
          </w:tcPr>
          <w:p w14:paraId="43746269" w14:textId="0FACA2AA" w:rsidR="008110BE" w:rsidRPr="008110BE" w:rsidRDefault="008110BE" w:rsidP="00290D65">
            <w:pPr>
              <w:spacing w:after="120"/>
              <w:rPr>
                <w:rFonts w:asciiTheme="majorHAnsi" w:eastAsiaTheme="majorEastAsia" w:hAnsiTheme="majorHAnsi" w:cstheme="majorBidi"/>
                <w:bCs/>
                <w:sz w:val="20"/>
                <w:szCs w:val="20"/>
              </w:rPr>
            </w:pPr>
            <w:r w:rsidRPr="008110BE">
              <w:rPr>
                <w:rFonts w:asciiTheme="majorHAnsi" w:eastAsiaTheme="majorEastAsia" w:hAnsiTheme="majorHAnsi" w:cstheme="majorBidi"/>
                <w:bCs/>
                <w:sz w:val="20"/>
                <w:szCs w:val="20"/>
              </w:rPr>
              <w:t>Day 2</w:t>
            </w:r>
          </w:p>
        </w:tc>
        <w:tc>
          <w:tcPr>
            <w:tcW w:w="5184" w:type="dxa"/>
            <w:tcMar>
              <w:top w:w="144" w:type="dxa"/>
              <w:left w:w="115" w:type="dxa"/>
              <w:bottom w:w="43" w:type="dxa"/>
              <w:right w:w="115" w:type="dxa"/>
            </w:tcMar>
          </w:tcPr>
          <w:p w14:paraId="739DDDD5" w14:textId="2C630D74" w:rsidR="008110BE" w:rsidRPr="00290D65" w:rsidRDefault="008110BE" w:rsidP="00290D65">
            <w:pPr>
              <w:pStyle w:val="ListParagraph"/>
              <w:spacing w:after="120"/>
              <w:ind w:left="432"/>
              <w:jc w:val="left"/>
              <w:rPr>
                <w:rFonts w:asciiTheme="majorHAnsi" w:eastAsiaTheme="majorEastAsia" w:hAnsiTheme="majorHAnsi" w:cstheme="majorBidi"/>
                <w:bCs/>
                <w:i/>
                <w:sz w:val="20"/>
                <w:szCs w:val="20"/>
              </w:rPr>
            </w:pPr>
            <w:r w:rsidRPr="00290D65">
              <w:rPr>
                <w:rFonts w:asciiTheme="majorHAnsi" w:eastAsiaTheme="majorEastAsia" w:hAnsiTheme="majorHAnsi" w:cstheme="majorBidi"/>
                <w:bCs/>
                <w:i/>
                <w:sz w:val="20"/>
                <w:szCs w:val="20"/>
              </w:rPr>
              <w:t xml:space="preserve">Muslim translator used to support the Myanmar </w:t>
            </w:r>
            <w:r w:rsidR="009E4175">
              <w:rPr>
                <w:rFonts w:asciiTheme="majorHAnsi" w:eastAsiaTheme="majorEastAsia" w:hAnsiTheme="majorHAnsi" w:cstheme="majorBidi"/>
                <w:bCs/>
                <w:i/>
                <w:sz w:val="20"/>
                <w:szCs w:val="20"/>
              </w:rPr>
              <w:t xml:space="preserve">speaking </w:t>
            </w:r>
            <w:r w:rsidRPr="00290D65">
              <w:rPr>
                <w:rFonts w:asciiTheme="majorHAnsi" w:eastAsiaTheme="majorEastAsia" w:hAnsiTheme="majorHAnsi" w:cstheme="majorBidi"/>
                <w:bCs/>
                <w:i/>
                <w:sz w:val="20"/>
                <w:szCs w:val="20"/>
              </w:rPr>
              <w:t>facilitator</w:t>
            </w:r>
          </w:p>
          <w:p w14:paraId="032A6C22" w14:textId="394344A9" w:rsidR="008110BE" w:rsidRPr="008110BE" w:rsidRDefault="008110BE" w:rsidP="00290D65">
            <w:pPr>
              <w:pStyle w:val="ListParagraph"/>
              <w:numPr>
                <w:ilvl w:val="0"/>
                <w:numId w:val="2"/>
              </w:numPr>
              <w:spacing w:after="120"/>
              <w:ind w:left="432"/>
              <w:jc w:val="left"/>
              <w:rPr>
                <w:rFonts w:asciiTheme="majorHAnsi" w:eastAsiaTheme="majorEastAsia" w:hAnsiTheme="majorHAnsi" w:cstheme="majorBidi"/>
                <w:bCs/>
                <w:sz w:val="20"/>
                <w:szCs w:val="20"/>
              </w:rPr>
            </w:pPr>
            <w:r w:rsidRPr="008110BE">
              <w:rPr>
                <w:rFonts w:asciiTheme="majorHAnsi" w:eastAsiaTheme="majorEastAsia" w:hAnsiTheme="majorHAnsi" w:cstheme="majorBidi"/>
                <w:bCs/>
                <w:sz w:val="20"/>
                <w:szCs w:val="20"/>
              </w:rPr>
              <w:t xml:space="preserve">Introduction </w:t>
            </w:r>
            <w:r w:rsidR="00290D65">
              <w:rPr>
                <w:rFonts w:asciiTheme="majorHAnsi" w:eastAsiaTheme="majorEastAsia" w:hAnsiTheme="majorHAnsi" w:cstheme="majorBidi"/>
                <w:bCs/>
                <w:sz w:val="20"/>
                <w:szCs w:val="20"/>
              </w:rPr>
              <w:t>to the KAP survey questionnaire</w:t>
            </w:r>
          </w:p>
          <w:p w14:paraId="62F01EE6" w14:textId="64ADD192" w:rsidR="008110BE" w:rsidRPr="008110BE" w:rsidRDefault="008110BE" w:rsidP="00290D65">
            <w:pPr>
              <w:pStyle w:val="ListParagraph"/>
              <w:numPr>
                <w:ilvl w:val="0"/>
                <w:numId w:val="2"/>
              </w:numPr>
              <w:spacing w:after="120"/>
              <w:ind w:left="432"/>
              <w:jc w:val="left"/>
              <w:rPr>
                <w:rFonts w:asciiTheme="majorHAnsi" w:eastAsiaTheme="majorEastAsia" w:hAnsiTheme="majorHAnsi" w:cstheme="majorBidi"/>
                <w:bCs/>
                <w:sz w:val="20"/>
                <w:szCs w:val="20"/>
              </w:rPr>
            </w:pPr>
            <w:r w:rsidRPr="008110BE">
              <w:rPr>
                <w:rFonts w:asciiTheme="majorHAnsi" w:eastAsiaTheme="majorEastAsia" w:hAnsiTheme="majorHAnsi" w:cstheme="majorBidi"/>
                <w:bCs/>
                <w:sz w:val="20"/>
                <w:szCs w:val="20"/>
              </w:rPr>
              <w:t>Checking a common understanding of each question and its response options</w:t>
            </w:r>
          </w:p>
        </w:tc>
        <w:tc>
          <w:tcPr>
            <w:tcW w:w="2950" w:type="dxa"/>
            <w:tcMar>
              <w:top w:w="144" w:type="dxa"/>
              <w:left w:w="115" w:type="dxa"/>
              <w:bottom w:w="43" w:type="dxa"/>
              <w:right w:w="115" w:type="dxa"/>
            </w:tcMar>
          </w:tcPr>
          <w:p w14:paraId="01A364EB" w14:textId="77777777" w:rsidR="009E4175" w:rsidRDefault="009E4175" w:rsidP="009E4175">
            <w:pPr>
              <w:pStyle w:val="ListParagraph"/>
              <w:spacing w:after="120"/>
              <w:ind w:left="437"/>
              <w:jc w:val="left"/>
              <w:rPr>
                <w:rFonts w:asciiTheme="majorHAnsi" w:eastAsiaTheme="majorEastAsia" w:hAnsiTheme="majorHAnsi" w:cstheme="majorBidi"/>
                <w:bCs/>
                <w:sz w:val="20"/>
                <w:szCs w:val="20"/>
              </w:rPr>
            </w:pPr>
          </w:p>
          <w:p w14:paraId="74633973" w14:textId="77777777" w:rsidR="009E4175" w:rsidRDefault="009E4175" w:rsidP="009E4175">
            <w:pPr>
              <w:pStyle w:val="ListParagraph"/>
              <w:spacing w:after="120"/>
              <w:ind w:left="437"/>
              <w:jc w:val="left"/>
              <w:rPr>
                <w:rFonts w:asciiTheme="majorHAnsi" w:eastAsiaTheme="majorEastAsia" w:hAnsiTheme="majorHAnsi" w:cstheme="majorBidi"/>
                <w:bCs/>
                <w:sz w:val="20"/>
                <w:szCs w:val="20"/>
              </w:rPr>
            </w:pPr>
          </w:p>
          <w:p w14:paraId="1D9FE5D2" w14:textId="77777777" w:rsidR="009E4175" w:rsidRDefault="009E4175" w:rsidP="009E4175">
            <w:pPr>
              <w:pStyle w:val="ListParagraph"/>
              <w:spacing w:after="120"/>
              <w:ind w:left="437"/>
              <w:jc w:val="left"/>
              <w:rPr>
                <w:rFonts w:asciiTheme="majorHAnsi" w:eastAsiaTheme="majorEastAsia" w:hAnsiTheme="majorHAnsi" w:cstheme="majorBidi"/>
                <w:bCs/>
                <w:sz w:val="20"/>
                <w:szCs w:val="20"/>
              </w:rPr>
            </w:pPr>
          </w:p>
          <w:p w14:paraId="30DE45B5" w14:textId="41A9381C" w:rsidR="008110BE" w:rsidRPr="00290D65" w:rsidRDefault="00290D65" w:rsidP="00290D65">
            <w:pPr>
              <w:pStyle w:val="ListParagraph"/>
              <w:numPr>
                <w:ilvl w:val="0"/>
                <w:numId w:val="3"/>
              </w:numPr>
              <w:spacing w:after="120"/>
              <w:ind w:left="437"/>
              <w:jc w:val="left"/>
              <w:rPr>
                <w:rFonts w:asciiTheme="majorHAnsi" w:eastAsiaTheme="majorEastAsia" w:hAnsiTheme="majorHAnsi" w:cstheme="majorBidi"/>
                <w:bCs/>
                <w:sz w:val="20"/>
                <w:szCs w:val="20"/>
              </w:rPr>
            </w:pPr>
            <w:r w:rsidRPr="00290D65">
              <w:rPr>
                <w:rFonts w:asciiTheme="majorHAnsi" w:eastAsiaTheme="majorEastAsia" w:hAnsiTheme="majorHAnsi" w:cstheme="majorBidi"/>
                <w:bCs/>
                <w:sz w:val="20"/>
                <w:szCs w:val="20"/>
              </w:rPr>
              <w:t>Minor edits made to KAP survey</w:t>
            </w:r>
          </w:p>
        </w:tc>
      </w:tr>
      <w:tr w:rsidR="008710E2" w:rsidRPr="008710E2" w14:paraId="1BB554A4" w14:textId="77777777" w:rsidTr="0038779F">
        <w:trPr>
          <w:trHeight w:val="404"/>
          <w:jc w:val="center"/>
        </w:trPr>
        <w:tc>
          <w:tcPr>
            <w:tcW w:w="774" w:type="dxa"/>
            <w:tcMar>
              <w:top w:w="72" w:type="dxa"/>
              <w:left w:w="115" w:type="dxa"/>
              <w:bottom w:w="43" w:type="dxa"/>
              <w:right w:w="115" w:type="dxa"/>
            </w:tcMar>
            <w:vAlign w:val="center"/>
          </w:tcPr>
          <w:p w14:paraId="57179D4A" w14:textId="370A5C88" w:rsidR="008710E2" w:rsidRPr="008110BE" w:rsidRDefault="008710E2" w:rsidP="00290D65">
            <w:pPr>
              <w:spacing w:after="120"/>
              <w:rPr>
                <w:rFonts w:asciiTheme="majorHAnsi" w:eastAsiaTheme="majorEastAsia" w:hAnsiTheme="majorHAnsi" w:cstheme="majorBidi"/>
                <w:bCs/>
                <w:sz w:val="20"/>
                <w:szCs w:val="20"/>
              </w:rPr>
            </w:pPr>
            <w:r w:rsidRPr="008110BE">
              <w:rPr>
                <w:rFonts w:asciiTheme="majorHAnsi" w:eastAsiaTheme="majorEastAsia" w:hAnsiTheme="majorHAnsi" w:cstheme="majorBidi"/>
                <w:bCs/>
                <w:sz w:val="20"/>
                <w:szCs w:val="20"/>
              </w:rPr>
              <w:t>Day 3</w:t>
            </w:r>
          </w:p>
        </w:tc>
        <w:tc>
          <w:tcPr>
            <w:tcW w:w="5184" w:type="dxa"/>
            <w:tcMar>
              <w:top w:w="144" w:type="dxa"/>
              <w:left w:w="115" w:type="dxa"/>
              <w:bottom w:w="43" w:type="dxa"/>
              <w:right w:w="115" w:type="dxa"/>
            </w:tcMar>
          </w:tcPr>
          <w:p w14:paraId="0822D683" w14:textId="7B0BC9F9" w:rsidR="008110BE" w:rsidRDefault="008110BE" w:rsidP="00290D65">
            <w:pPr>
              <w:pStyle w:val="ListParagraph"/>
              <w:numPr>
                <w:ilvl w:val="0"/>
                <w:numId w:val="2"/>
              </w:numPr>
              <w:spacing w:after="120"/>
              <w:ind w:left="432"/>
              <w:jc w:val="left"/>
              <w:rPr>
                <w:rFonts w:asciiTheme="majorHAnsi" w:eastAsiaTheme="majorEastAsia" w:hAnsiTheme="majorHAnsi" w:cstheme="majorBidi"/>
                <w:bCs/>
                <w:sz w:val="20"/>
                <w:szCs w:val="20"/>
              </w:rPr>
            </w:pPr>
            <w:r w:rsidRPr="008110BE">
              <w:rPr>
                <w:rFonts w:asciiTheme="majorHAnsi" w:eastAsiaTheme="majorEastAsia" w:hAnsiTheme="majorHAnsi" w:cstheme="majorBidi"/>
                <w:bCs/>
                <w:sz w:val="20"/>
                <w:szCs w:val="20"/>
              </w:rPr>
              <w:t>Field Test in Tet Kael Pyin vil</w:t>
            </w:r>
            <w:r w:rsidR="00290D65">
              <w:rPr>
                <w:rFonts w:asciiTheme="majorHAnsi" w:eastAsiaTheme="majorEastAsia" w:hAnsiTheme="majorHAnsi" w:cstheme="majorBidi"/>
                <w:bCs/>
                <w:sz w:val="20"/>
                <w:szCs w:val="20"/>
              </w:rPr>
              <w:t>lage; one survey per enumerator</w:t>
            </w:r>
          </w:p>
          <w:p w14:paraId="3FFA0F4D" w14:textId="4C358B33" w:rsidR="008710E2" w:rsidRPr="008110BE" w:rsidRDefault="008110BE" w:rsidP="00290D65">
            <w:pPr>
              <w:pStyle w:val="ListParagraph"/>
              <w:numPr>
                <w:ilvl w:val="0"/>
                <w:numId w:val="2"/>
              </w:numPr>
              <w:spacing w:after="120"/>
              <w:ind w:left="432"/>
              <w:jc w:val="left"/>
              <w:rPr>
                <w:rFonts w:asciiTheme="majorHAnsi" w:eastAsiaTheme="majorEastAsia" w:hAnsiTheme="majorHAnsi" w:cstheme="majorBidi"/>
                <w:bCs/>
                <w:sz w:val="20"/>
                <w:szCs w:val="20"/>
              </w:rPr>
            </w:pPr>
            <w:r>
              <w:rPr>
                <w:rFonts w:asciiTheme="majorHAnsi" w:eastAsiaTheme="majorEastAsia" w:hAnsiTheme="majorHAnsi" w:cstheme="majorBidi"/>
                <w:bCs/>
                <w:sz w:val="20"/>
                <w:szCs w:val="20"/>
              </w:rPr>
              <w:t>Feedback on field test experience and clarifications</w:t>
            </w:r>
          </w:p>
        </w:tc>
        <w:tc>
          <w:tcPr>
            <w:tcW w:w="2950" w:type="dxa"/>
            <w:tcMar>
              <w:top w:w="144" w:type="dxa"/>
              <w:left w:w="115" w:type="dxa"/>
              <w:bottom w:w="43" w:type="dxa"/>
              <w:right w:w="115" w:type="dxa"/>
            </w:tcMar>
          </w:tcPr>
          <w:p w14:paraId="0E5050B8" w14:textId="30BADFD8" w:rsidR="008710E2" w:rsidRPr="00290D65" w:rsidRDefault="008110BE" w:rsidP="00290D65">
            <w:pPr>
              <w:pStyle w:val="ListParagraph"/>
              <w:numPr>
                <w:ilvl w:val="0"/>
                <w:numId w:val="2"/>
              </w:numPr>
              <w:spacing w:after="120"/>
              <w:ind w:left="437"/>
              <w:jc w:val="left"/>
              <w:rPr>
                <w:rFonts w:asciiTheme="majorHAnsi" w:eastAsiaTheme="majorEastAsia" w:hAnsiTheme="majorHAnsi" w:cstheme="majorBidi"/>
                <w:bCs/>
                <w:sz w:val="20"/>
                <w:szCs w:val="20"/>
              </w:rPr>
            </w:pPr>
            <w:r w:rsidRPr="00290D65">
              <w:rPr>
                <w:rFonts w:asciiTheme="majorHAnsi" w:eastAsiaTheme="majorEastAsia" w:hAnsiTheme="majorHAnsi" w:cstheme="majorBidi"/>
                <w:bCs/>
                <w:sz w:val="20"/>
                <w:szCs w:val="20"/>
              </w:rPr>
              <w:t>Survey Time: 45 –</w:t>
            </w:r>
            <w:r w:rsidR="00290D65">
              <w:rPr>
                <w:rFonts w:asciiTheme="majorHAnsi" w:eastAsiaTheme="majorEastAsia" w:hAnsiTheme="majorHAnsi" w:cstheme="majorBidi"/>
                <w:bCs/>
                <w:sz w:val="20"/>
                <w:szCs w:val="20"/>
              </w:rPr>
              <w:t xml:space="preserve"> 60 min</w:t>
            </w:r>
            <w:r w:rsidRPr="00290D65">
              <w:rPr>
                <w:rFonts w:asciiTheme="majorHAnsi" w:eastAsiaTheme="majorEastAsia" w:hAnsiTheme="majorHAnsi" w:cstheme="majorBidi"/>
                <w:bCs/>
                <w:sz w:val="20"/>
                <w:szCs w:val="20"/>
              </w:rPr>
              <w:t>s</w:t>
            </w:r>
          </w:p>
          <w:p w14:paraId="7729DAA1" w14:textId="51D60685" w:rsidR="00290D65" w:rsidRPr="00290D65" w:rsidRDefault="00290D65" w:rsidP="00290D65">
            <w:pPr>
              <w:pStyle w:val="ListParagraph"/>
              <w:numPr>
                <w:ilvl w:val="0"/>
                <w:numId w:val="2"/>
              </w:numPr>
              <w:spacing w:after="120"/>
              <w:ind w:left="437"/>
              <w:jc w:val="left"/>
              <w:rPr>
                <w:rFonts w:asciiTheme="majorHAnsi" w:eastAsiaTheme="majorEastAsia" w:hAnsiTheme="majorHAnsi" w:cstheme="majorBidi"/>
                <w:bCs/>
                <w:sz w:val="20"/>
                <w:szCs w:val="20"/>
              </w:rPr>
            </w:pPr>
            <w:r w:rsidRPr="00290D65">
              <w:rPr>
                <w:rFonts w:asciiTheme="majorHAnsi" w:eastAsiaTheme="majorEastAsia" w:hAnsiTheme="majorHAnsi" w:cstheme="majorBidi"/>
                <w:bCs/>
                <w:sz w:val="20"/>
                <w:szCs w:val="20"/>
              </w:rPr>
              <w:t>Minor edits made to KAP survey</w:t>
            </w:r>
          </w:p>
        </w:tc>
      </w:tr>
    </w:tbl>
    <w:p w14:paraId="3FF630FB" w14:textId="13DA7207" w:rsidR="00352F05" w:rsidRDefault="00352F05" w:rsidP="00CD31C2">
      <w:pPr>
        <w:spacing w:after="120"/>
        <w:rPr>
          <w:rFonts w:asciiTheme="majorHAnsi" w:eastAsiaTheme="majorEastAsia" w:hAnsiTheme="majorHAnsi" w:cstheme="majorBidi"/>
          <w:b/>
          <w:bCs/>
          <w:color w:val="4F81BD" w:themeColor="accent1"/>
          <w:sz w:val="26"/>
          <w:szCs w:val="26"/>
        </w:rPr>
      </w:pPr>
    </w:p>
    <w:p w14:paraId="62CFA3C8" w14:textId="5FFBE51E" w:rsidR="00290D65" w:rsidRPr="00BE0079" w:rsidRDefault="009E4175" w:rsidP="00EA2081">
      <w:pPr>
        <w:pStyle w:val="Heading2"/>
        <w:spacing w:after="120"/>
      </w:pPr>
      <w:bookmarkStart w:id="21" w:name="_Toc292703944"/>
      <w:bookmarkStart w:id="22" w:name="_Toc292704162"/>
      <w:bookmarkStart w:id="23" w:name="_Toc294273141"/>
      <w:r w:rsidRPr="00BE0079">
        <w:t>Data Collection</w:t>
      </w:r>
      <w:bookmarkEnd w:id="21"/>
      <w:bookmarkEnd w:id="22"/>
      <w:bookmarkEnd w:id="23"/>
    </w:p>
    <w:p w14:paraId="61324131" w14:textId="6B3DAAE5" w:rsidR="009E4175" w:rsidRPr="004C42CF" w:rsidRDefault="00FB4855" w:rsidP="00EA2081">
      <w:pPr>
        <w:spacing w:after="120"/>
        <w:jc w:val="both"/>
        <w:rPr>
          <w:rFonts w:asciiTheme="majorHAnsi" w:eastAsiaTheme="majorEastAsia" w:hAnsiTheme="majorHAnsi" w:cstheme="majorBidi"/>
          <w:bCs/>
        </w:rPr>
      </w:pPr>
      <w:r w:rsidRPr="004C42CF">
        <w:rPr>
          <w:rFonts w:asciiTheme="majorHAnsi" w:eastAsiaTheme="majorEastAsia" w:hAnsiTheme="majorHAnsi" w:cstheme="majorBidi"/>
          <w:bCs/>
        </w:rPr>
        <w:t>Household interviews were conducted between 5</w:t>
      </w:r>
      <w:r w:rsidRPr="004C42CF">
        <w:rPr>
          <w:rFonts w:asciiTheme="majorHAnsi" w:eastAsiaTheme="majorEastAsia" w:hAnsiTheme="majorHAnsi" w:cstheme="majorBidi"/>
          <w:bCs/>
          <w:vertAlign w:val="superscript"/>
        </w:rPr>
        <w:t>th</w:t>
      </w:r>
      <w:r w:rsidRPr="004C42CF">
        <w:rPr>
          <w:rFonts w:asciiTheme="majorHAnsi" w:eastAsiaTheme="majorEastAsia" w:hAnsiTheme="majorHAnsi" w:cstheme="majorBidi"/>
          <w:bCs/>
        </w:rPr>
        <w:t xml:space="preserve"> and 13</w:t>
      </w:r>
      <w:r w:rsidRPr="004C42CF">
        <w:rPr>
          <w:rFonts w:asciiTheme="majorHAnsi" w:eastAsiaTheme="majorEastAsia" w:hAnsiTheme="majorHAnsi" w:cstheme="majorBidi"/>
          <w:bCs/>
          <w:vertAlign w:val="superscript"/>
        </w:rPr>
        <w:t>th</w:t>
      </w:r>
      <w:r w:rsidRPr="004C42CF">
        <w:rPr>
          <w:rFonts w:asciiTheme="majorHAnsi" w:eastAsiaTheme="majorEastAsia" w:hAnsiTheme="majorHAnsi" w:cstheme="majorBidi"/>
          <w:bCs/>
        </w:rPr>
        <w:t xml:space="preserve"> May 2014. As only one Rakhine enumerator </w:t>
      </w:r>
      <w:r w:rsidR="009A4F2D" w:rsidRPr="004C42CF">
        <w:rPr>
          <w:rFonts w:asciiTheme="majorHAnsi" w:eastAsiaTheme="majorEastAsia" w:hAnsiTheme="majorHAnsi" w:cstheme="majorBidi"/>
          <w:bCs/>
        </w:rPr>
        <w:t>was initially trained a second, female enumerator was recruited. This two-person team conducted all the surveys in the Rakhine communities. The remaining 19 Muslim enumerators worked exclusively with Muslim communities.  As the team was not</w:t>
      </w:r>
      <w:r w:rsidR="003A7FE4" w:rsidRPr="004C42CF">
        <w:rPr>
          <w:rFonts w:asciiTheme="majorHAnsi" w:eastAsiaTheme="majorEastAsia" w:hAnsiTheme="majorHAnsi" w:cstheme="majorBidi"/>
          <w:bCs/>
        </w:rPr>
        <w:t xml:space="preserve"> gender</w:t>
      </w:r>
      <w:r w:rsidR="00B751AD">
        <w:rPr>
          <w:rFonts w:asciiTheme="majorHAnsi" w:eastAsiaTheme="majorEastAsia" w:hAnsiTheme="majorHAnsi" w:cstheme="majorBidi"/>
          <w:bCs/>
        </w:rPr>
        <w:t xml:space="preserve"> balanced, it was reorganized</w:t>
      </w:r>
      <w:r w:rsidR="003A7FE4" w:rsidRPr="004C42CF">
        <w:rPr>
          <w:rFonts w:asciiTheme="majorHAnsi" w:eastAsiaTheme="majorEastAsia" w:hAnsiTheme="majorHAnsi" w:cstheme="majorBidi"/>
          <w:bCs/>
        </w:rPr>
        <w:t xml:space="preserve"> that female enumerators could support their male colleagues by asking the </w:t>
      </w:r>
      <w:r w:rsidR="009A4F2D" w:rsidRPr="004C42CF">
        <w:rPr>
          <w:rFonts w:asciiTheme="majorHAnsi" w:eastAsiaTheme="majorEastAsia" w:hAnsiTheme="majorHAnsi" w:cstheme="majorBidi"/>
          <w:bCs/>
        </w:rPr>
        <w:t>questions re</w:t>
      </w:r>
      <w:r w:rsidR="00B751AD">
        <w:rPr>
          <w:rFonts w:asciiTheme="majorHAnsi" w:eastAsiaTheme="majorEastAsia" w:hAnsiTheme="majorHAnsi" w:cstheme="majorBidi"/>
          <w:bCs/>
        </w:rPr>
        <w:t>lating to sanitary protection.</w:t>
      </w:r>
    </w:p>
    <w:p w14:paraId="4D9EE8BC" w14:textId="77777777" w:rsidR="0038779F" w:rsidRDefault="0038779F" w:rsidP="00EA2081">
      <w:pPr>
        <w:spacing w:after="120"/>
      </w:pPr>
    </w:p>
    <w:p w14:paraId="67EDF92E" w14:textId="721E0F28" w:rsidR="00254C55" w:rsidRDefault="00254C55" w:rsidP="00EA2081">
      <w:pPr>
        <w:pStyle w:val="Heading2"/>
        <w:spacing w:after="120"/>
        <w:rPr>
          <w:color w:val="548DD4" w:themeColor="text2" w:themeTint="99"/>
        </w:rPr>
      </w:pPr>
      <w:bookmarkStart w:id="24" w:name="_Toc292703945"/>
      <w:bookmarkStart w:id="25" w:name="_Toc292704163"/>
      <w:bookmarkStart w:id="26" w:name="_Toc294273142"/>
      <w:r w:rsidRPr="00254C55">
        <w:rPr>
          <w:color w:val="548DD4" w:themeColor="text2" w:themeTint="99"/>
        </w:rPr>
        <w:t>Data Input</w:t>
      </w:r>
      <w:bookmarkEnd w:id="24"/>
      <w:bookmarkEnd w:id="25"/>
      <w:bookmarkEnd w:id="26"/>
    </w:p>
    <w:p w14:paraId="6602BE62" w14:textId="22BD20BF" w:rsidR="003A7FE4" w:rsidRPr="004C42CF" w:rsidRDefault="003A7FE4" w:rsidP="00EA2081">
      <w:pPr>
        <w:spacing w:after="120"/>
        <w:jc w:val="both"/>
        <w:rPr>
          <w:rFonts w:asciiTheme="majorHAnsi" w:hAnsiTheme="majorHAnsi"/>
        </w:rPr>
      </w:pPr>
      <w:r w:rsidRPr="004C42CF">
        <w:rPr>
          <w:rFonts w:asciiTheme="majorHAnsi" w:hAnsiTheme="majorHAnsi"/>
        </w:rPr>
        <w:t>Two data input specialists were provided by Save the Children International (SCI), whilst a third was recruited by SCI in the second week of data collection. Data was entered into a MS Excel spreadsheet developed by the consultant with validation boxes providing instructions for input staff on e</w:t>
      </w:r>
      <w:r w:rsidR="00911E85">
        <w:rPr>
          <w:rFonts w:asciiTheme="majorHAnsi" w:hAnsiTheme="majorHAnsi"/>
        </w:rPr>
        <w:t>ach</w:t>
      </w:r>
      <w:r w:rsidRPr="004C42CF">
        <w:rPr>
          <w:rFonts w:asciiTheme="majorHAnsi" w:hAnsiTheme="majorHAnsi"/>
        </w:rPr>
        <w:t xml:space="preserve"> input cell. Data entry </w:t>
      </w:r>
      <w:r w:rsidR="00EA2081" w:rsidRPr="004C42CF">
        <w:rPr>
          <w:rFonts w:asciiTheme="majorHAnsi" w:hAnsiTheme="majorHAnsi"/>
        </w:rPr>
        <w:t>occurred between 6</w:t>
      </w:r>
      <w:r w:rsidR="00EA2081" w:rsidRPr="004C42CF">
        <w:rPr>
          <w:rFonts w:asciiTheme="majorHAnsi" w:hAnsiTheme="majorHAnsi"/>
          <w:vertAlign w:val="superscript"/>
        </w:rPr>
        <w:t>th</w:t>
      </w:r>
      <w:r w:rsidR="00EA2081" w:rsidRPr="004C42CF">
        <w:rPr>
          <w:rFonts w:asciiTheme="majorHAnsi" w:hAnsiTheme="majorHAnsi"/>
        </w:rPr>
        <w:t xml:space="preserve"> to the 1</w:t>
      </w:r>
      <w:r w:rsidR="009D52E6" w:rsidRPr="004C42CF">
        <w:rPr>
          <w:rFonts w:asciiTheme="majorHAnsi" w:hAnsiTheme="majorHAnsi"/>
        </w:rPr>
        <w:t>5</w:t>
      </w:r>
      <w:r w:rsidR="00EA2081" w:rsidRPr="004C42CF">
        <w:rPr>
          <w:rFonts w:asciiTheme="majorHAnsi" w:hAnsiTheme="majorHAnsi"/>
          <w:vertAlign w:val="superscript"/>
        </w:rPr>
        <w:t>th</w:t>
      </w:r>
      <w:r w:rsidR="00EA2081" w:rsidRPr="004C42CF">
        <w:rPr>
          <w:rFonts w:asciiTheme="majorHAnsi" w:hAnsiTheme="majorHAnsi"/>
        </w:rPr>
        <w:t xml:space="preserve"> May 2015</w:t>
      </w:r>
    </w:p>
    <w:p w14:paraId="2F7D39C5" w14:textId="77777777" w:rsidR="00254C55" w:rsidRDefault="00254C55" w:rsidP="00EA2081">
      <w:pPr>
        <w:spacing w:after="120"/>
      </w:pPr>
    </w:p>
    <w:p w14:paraId="05D263E1" w14:textId="77777777" w:rsidR="004C42CF" w:rsidRDefault="004C42CF">
      <w:pPr>
        <w:rPr>
          <w:rFonts w:asciiTheme="majorHAnsi" w:eastAsiaTheme="majorEastAsia" w:hAnsiTheme="majorHAnsi" w:cstheme="majorBidi"/>
          <w:b/>
          <w:bCs/>
          <w:color w:val="548DD4" w:themeColor="text2" w:themeTint="99"/>
          <w:sz w:val="28"/>
          <w:szCs w:val="28"/>
        </w:rPr>
      </w:pPr>
      <w:bookmarkStart w:id="27" w:name="_Toc292703946"/>
      <w:bookmarkStart w:id="28" w:name="_Toc292704164"/>
      <w:r>
        <w:rPr>
          <w:color w:val="548DD4" w:themeColor="text2" w:themeTint="99"/>
          <w:sz w:val="28"/>
          <w:szCs w:val="28"/>
        </w:rPr>
        <w:br w:type="page"/>
      </w:r>
    </w:p>
    <w:p w14:paraId="0C6DABA2" w14:textId="77777777" w:rsidR="004D00C6" w:rsidRDefault="004D00C6" w:rsidP="004D00C6">
      <w:pPr>
        <w:pStyle w:val="Heading1"/>
        <w:spacing w:before="0"/>
        <w:ind w:left="547"/>
        <w:rPr>
          <w:color w:val="548DD4" w:themeColor="text2" w:themeTint="99"/>
          <w:sz w:val="28"/>
          <w:szCs w:val="28"/>
        </w:rPr>
      </w:pPr>
      <w:bookmarkStart w:id="29" w:name="_Toc294273143"/>
    </w:p>
    <w:p w14:paraId="37D1FF9D" w14:textId="0E6C5CEF" w:rsidR="00B751AD" w:rsidRDefault="0038779F" w:rsidP="004D00C6">
      <w:pPr>
        <w:pStyle w:val="Heading1"/>
        <w:numPr>
          <w:ilvl w:val="0"/>
          <w:numId w:val="12"/>
        </w:numPr>
        <w:spacing w:before="120" w:after="120"/>
        <w:ind w:left="548" w:hanging="634"/>
        <w:rPr>
          <w:color w:val="548DD4" w:themeColor="text2" w:themeTint="99"/>
          <w:sz w:val="28"/>
          <w:szCs w:val="28"/>
        </w:rPr>
      </w:pPr>
      <w:r w:rsidRPr="00E64758">
        <w:rPr>
          <w:color w:val="548DD4" w:themeColor="text2" w:themeTint="99"/>
          <w:sz w:val="28"/>
          <w:szCs w:val="28"/>
        </w:rPr>
        <w:t>Limitations and Constraints</w:t>
      </w:r>
      <w:bookmarkEnd w:id="27"/>
      <w:bookmarkEnd w:id="28"/>
      <w:bookmarkEnd w:id="29"/>
    </w:p>
    <w:p w14:paraId="4399EEEA" w14:textId="77777777" w:rsidR="005C28F7" w:rsidRPr="005C28F7" w:rsidRDefault="005C28F7" w:rsidP="005C28F7"/>
    <w:p w14:paraId="27D88122" w14:textId="6CCB015D" w:rsidR="00B751AD" w:rsidRPr="007429A9" w:rsidRDefault="00B751AD" w:rsidP="004D00C6">
      <w:pPr>
        <w:jc w:val="both"/>
        <w:rPr>
          <w:rFonts w:asciiTheme="majorHAnsi" w:hAnsiTheme="majorHAnsi"/>
        </w:rPr>
      </w:pPr>
      <w:r w:rsidRPr="007429A9">
        <w:rPr>
          <w:rFonts w:asciiTheme="majorHAnsi" w:hAnsiTheme="majorHAnsi"/>
        </w:rPr>
        <w:t>Although knowledge</w:t>
      </w:r>
      <w:r w:rsidR="008838FC" w:rsidRPr="007429A9">
        <w:rPr>
          <w:rFonts w:asciiTheme="majorHAnsi" w:hAnsiTheme="majorHAnsi"/>
        </w:rPr>
        <w:t>,</w:t>
      </w:r>
      <w:r w:rsidRPr="007429A9">
        <w:rPr>
          <w:rFonts w:asciiTheme="majorHAnsi" w:hAnsiTheme="majorHAnsi"/>
        </w:rPr>
        <w:t xml:space="preserve"> attitudes and practices (KAP) surveys are re</w:t>
      </w:r>
      <w:r w:rsidR="002672FD">
        <w:rPr>
          <w:rFonts w:asciiTheme="majorHAnsi" w:hAnsiTheme="majorHAnsi"/>
        </w:rPr>
        <w:t xml:space="preserve">garded </w:t>
      </w:r>
      <w:r w:rsidRPr="007429A9">
        <w:rPr>
          <w:rFonts w:asciiTheme="majorHAnsi" w:hAnsiTheme="majorHAnsi"/>
        </w:rPr>
        <w:t>as a standard tool for monitoring behaviour change</w:t>
      </w:r>
      <w:r w:rsidR="008838FC" w:rsidRPr="007429A9">
        <w:rPr>
          <w:rFonts w:asciiTheme="majorHAnsi" w:hAnsiTheme="majorHAnsi"/>
        </w:rPr>
        <w:t xml:space="preserve"> in WASH programs</w:t>
      </w:r>
      <w:r w:rsidRPr="007429A9">
        <w:rPr>
          <w:rFonts w:asciiTheme="majorHAnsi" w:hAnsiTheme="majorHAnsi"/>
        </w:rPr>
        <w:t xml:space="preserve">, they </w:t>
      </w:r>
      <w:r w:rsidR="008838FC" w:rsidRPr="007429A9">
        <w:rPr>
          <w:rFonts w:asciiTheme="majorHAnsi" w:hAnsiTheme="majorHAnsi"/>
        </w:rPr>
        <w:t xml:space="preserve">are subject to </w:t>
      </w:r>
      <w:r w:rsidRPr="007429A9">
        <w:rPr>
          <w:rFonts w:asciiTheme="majorHAnsi" w:hAnsiTheme="majorHAnsi"/>
        </w:rPr>
        <w:t>limitations</w:t>
      </w:r>
      <w:r w:rsidR="002672FD">
        <w:rPr>
          <w:rFonts w:asciiTheme="majorHAnsi" w:hAnsiTheme="majorHAnsi"/>
        </w:rPr>
        <w:t xml:space="preserve"> with bias being </w:t>
      </w:r>
      <w:r w:rsidRPr="007429A9">
        <w:rPr>
          <w:rFonts w:asciiTheme="majorHAnsi" w:hAnsiTheme="majorHAnsi"/>
        </w:rPr>
        <w:t xml:space="preserve">introduced </w:t>
      </w:r>
      <w:r w:rsidR="008838FC" w:rsidRPr="007429A9">
        <w:rPr>
          <w:rFonts w:asciiTheme="majorHAnsi" w:hAnsiTheme="majorHAnsi"/>
        </w:rPr>
        <w:t>by a wide range of factors</w:t>
      </w:r>
      <w:r w:rsidR="002672FD">
        <w:rPr>
          <w:rFonts w:asciiTheme="majorHAnsi" w:hAnsiTheme="majorHAnsi"/>
        </w:rPr>
        <w:t xml:space="preserve">. </w:t>
      </w:r>
      <w:r w:rsidR="004D00C6">
        <w:rPr>
          <w:rFonts w:asciiTheme="majorHAnsi" w:hAnsiTheme="majorHAnsi"/>
        </w:rPr>
        <w:t xml:space="preserve"> This was compounded b</w:t>
      </w:r>
      <w:r w:rsidR="00977094">
        <w:rPr>
          <w:rFonts w:asciiTheme="majorHAnsi" w:hAnsiTheme="majorHAnsi"/>
        </w:rPr>
        <w:t>y the use of 4 la</w:t>
      </w:r>
      <w:r w:rsidR="004D00C6">
        <w:rPr>
          <w:rFonts w:asciiTheme="majorHAnsi" w:hAnsiTheme="majorHAnsi"/>
        </w:rPr>
        <w:t>nguages in the training: English, Myanmar, Rakhine and the local Muslim Bengali dialect.</w:t>
      </w:r>
    </w:p>
    <w:p w14:paraId="546CCA7E" w14:textId="77777777" w:rsidR="008A58BD" w:rsidRDefault="008A58BD" w:rsidP="007429A9">
      <w:pPr>
        <w:jc w:val="both"/>
        <w:rPr>
          <w:rFonts w:asciiTheme="majorHAnsi" w:hAnsiTheme="majorHAnsi"/>
          <w:color w:val="548DD4" w:themeColor="text2" w:themeTint="99"/>
        </w:rPr>
      </w:pPr>
    </w:p>
    <w:p w14:paraId="76D8CD7D" w14:textId="53238813" w:rsidR="008A58BD" w:rsidRPr="004D00C6" w:rsidRDefault="008A58BD" w:rsidP="004D00C6">
      <w:pPr>
        <w:jc w:val="both"/>
        <w:rPr>
          <w:rFonts w:asciiTheme="majorHAnsi" w:hAnsiTheme="majorHAnsi"/>
        </w:rPr>
      </w:pPr>
      <w:r w:rsidRPr="004D00C6">
        <w:rPr>
          <w:rFonts w:asciiTheme="majorHAnsi" w:hAnsiTheme="majorHAnsi"/>
        </w:rPr>
        <w:t xml:space="preserve">The questionnaire was translated from English to Myanmar language. However, it was clear that not all the enumerators were comfortable with this language. </w:t>
      </w:r>
      <w:r w:rsidR="004D00C6" w:rsidRPr="004D00C6">
        <w:rPr>
          <w:rFonts w:asciiTheme="majorHAnsi" w:hAnsiTheme="majorHAnsi"/>
        </w:rPr>
        <w:t>When the survey questions were reviewed</w:t>
      </w:r>
      <w:r w:rsidR="004D00C6">
        <w:rPr>
          <w:rFonts w:asciiTheme="majorHAnsi" w:hAnsiTheme="majorHAnsi"/>
        </w:rPr>
        <w:t xml:space="preserve"> in the training sessions</w:t>
      </w:r>
      <w:r w:rsidR="004D00C6" w:rsidRPr="004D00C6">
        <w:rPr>
          <w:rFonts w:asciiTheme="majorHAnsi" w:hAnsiTheme="majorHAnsi"/>
        </w:rPr>
        <w:t xml:space="preserve">, a translator </w:t>
      </w:r>
      <w:r w:rsidR="004D00C6">
        <w:rPr>
          <w:rFonts w:asciiTheme="majorHAnsi" w:hAnsiTheme="majorHAnsi"/>
        </w:rPr>
        <w:t xml:space="preserve">specializing in English, Myanmar and the local language </w:t>
      </w:r>
      <w:r w:rsidR="004D00C6" w:rsidRPr="004D00C6">
        <w:rPr>
          <w:rFonts w:asciiTheme="majorHAnsi" w:hAnsiTheme="majorHAnsi"/>
        </w:rPr>
        <w:t xml:space="preserve">supported, </w:t>
      </w:r>
      <w:r w:rsidR="004D00C6">
        <w:rPr>
          <w:rFonts w:asciiTheme="majorHAnsi" w:hAnsiTheme="majorHAnsi"/>
        </w:rPr>
        <w:t xml:space="preserve">to </w:t>
      </w:r>
      <w:r w:rsidR="004D00C6" w:rsidRPr="004D00C6">
        <w:rPr>
          <w:rFonts w:asciiTheme="majorHAnsi" w:hAnsiTheme="majorHAnsi"/>
        </w:rPr>
        <w:t>put enumerators at easy. However, as many questions required considerable discussion, it was clear that not all enumerators were confortable with how the questions were written in Myanmar</w:t>
      </w:r>
      <w:r w:rsidR="004D00C6">
        <w:rPr>
          <w:rFonts w:asciiTheme="majorHAnsi" w:hAnsiTheme="majorHAnsi"/>
        </w:rPr>
        <w:t xml:space="preserve"> and some concepts were difficult to grasp</w:t>
      </w:r>
      <w:r w:rsidR="004D00C6" w:rsidRPr="004D00C6">
        <w:rPr>
          <w:rFonts w:asciiTheme="majorHAnsi" w:hAnsiTheme="majorHAnsi"/>
        </w:rPr>
        <w:t>.</w:t>
      </w:r>
      <w:r w:rsidR="004D00C6">
        <w:rPr>
          <w:rFonts w:asciiTheme="majorHAnsi" w:hAnsiTheme="majorHAnsi"/>
        </w:rPr>
        <w:t xml:space="preserve"> </w:t>
      </w:r>
      <w:r w:rsidRPr="004D00C6">
        <w:rPr>
          <w:rFonts w:asciiTheme="majorHAnsi" w:hAnsiTheme="majorHAnsi"/>
        </w:rPr>
        <w:t xml:space="preserve">The </w:t>
      </w:r>
      <w:r w:rsidR="004D00C6" w:rsidRPr="004D00C6">
        <w:rPr>
          <w:rFonts w:asciiTheme="majorHAnsi" w:hAnsiTheme="majorHAnsi"/>
        </w:rPr>
        <w:t xml:space="preserve">multiple languages increased the likelihood of misinterpretation which was evident once the survey data had been entered into the excel spreadsheet and the resulting raw data required considerably more ‘cleaning’ that would normally be expected. </w:t>
      </w:r>
    </w:p>
    <w:p w14:paraId="343C2D03" w14:textId="77777777" w:rsidR="00977094" w:rsidRDefault="00977094" w:rsidP="008A58BD">
      <w:pPr>
        <w:rPr>
          <w:rFonts w:asciiTheme="majorHAnsi" w:hAnsiTheme="majorHAnsi"/>
        </w:rPr>
      </w:pPr>
    </w:p>
    <w:p w14:paraId="6ABA58FF" w14:textId="5E6A8D77" w:rsidR="00977094" w:rsidRDefault="00977094" w:rsidP="00977094">
      <w:pPr>
        <w:jc w:val="both"/>
      </w:pPr>
      <w:r>
        <w:rPr>
          <w:rFonts w:asciiTheme="majorHAnsi" w:hAnsiTheme="majorHAnsi"/>
        </w:rPr>
        <w:t>Person-to-</w:t>
      </w:r>
      <w:r w:rsidRPr="00977094">
        <w:rPr>
          <w:rFonts w:asciiTheme="majorHAnsi" w:hAnsiTheme="majorHAnsi"/>
        </w:rPr>
        <w:t xml:space="preserve">person surveys </w:t>
      </w:r>
      <w:r w:rsidR="008A58BD" w:rsidRPr="00977094">
        <w:rPr>
          <w:rFonts w:asciiTheme="majorHAnsi" w:hAnsiTheme="majorHAnsi"/>
        </w:rPr>
        <w:t xml:space="preserve">always </w:t>
      </w:r>
      <w:r w:rsidRPr="00977094">
        <w:rPr>
          <w:rFonts w:asciiTheme="majorHAnsi" w:hAnsiTheme="majorHAnsi"/>
        </w:rPr>
        <w:t xml:space="preserve">carry </w:t>
      </w:r>
      <w:r w:rsidR="008A58BD" w:rsidRPr="00977094">
        <w:rPr>
          <w:rFonts w:asciiTheme="majorHAnsi" w:hAnsiTheme="majorHAnsi"/>
        </w:rPr>
        <w:t xml:space="preserve">the risk of skewed responses by inherent pressures respondents might feel to respond in a certain way. Enumerators were trained to be objective and </w:t>
      </w:r>
      <w:r w:rsidR="004D00C6" w:rsidRPr="00977094">
        <w:rPr>
          <w:rFonts w:asciiTheme="majorHAnsi" w:hAnsiTheme="majorHAnsi"/>
        </w:rPr>
        <w:t xml:space="preserve">were specially </w:t>
      </w:r>
      <w:r w:rsidRPr="00977094">
        <w:rPr>
          <w:rFonts w:asciiTheme="majorHAnsi" w:hAnsiTheme="majorHAnsi"/>
        </w:rPr>
        <w:t>trained in techniques to probe for multiple responses. However, pressures to conduct a certain number of surveys in a given day can always limit the quality of these responses. As the enumerators were also the same people who have been providing hygiene messages to the target community</w:t>
      </w:r>
      <w:r>
        <w:rPr>
          <w:rFonts w:asciiTheme="majorHAnsi" w:hAnsiTheme="majorHAnsi"/>
        </w:rPr>
        <w:t xml:space="preserve"> as part of project implementation, it is highly likely that bias was introduced. </w:t>
      </w:r>
    </w:p>
    <w:p w14:paraId="7DF3BD4C" w14:textId="72D21694" w:rsidR="008A58BD" w:rsidRDefault="008A58BD" w:rsidP="008A58BD"/>
    <w:p w14:paraId="6719CE12" w14:textId="7AFECF15" w:rsidR="00B924A8" w:rsidRPr="00B924A8" w:rsidRDefault="008A58BD" w:rsidP="008A58BD">
      <w:pPr>
        <w:rPr>
          <w:rFonts w:asciiTheme="majorHAnsi" w:hAnsiTheme="majorHAnsi"/>
        </w:rPr>
      </w:pPr>
      <w:r w:rsidRPr="00B924A8">
        <w:rPr>
          <w:rFonts w:asciiTheme="majorHAnsi" w:hAnsiTheme="majorHAnsi"/>
        </w:rPr>
        <w:t xml:space="preserve">The </w:t>
      </w:r>
      <w:r w:rsidR="00B924A8" w:rsidRPr="00B924A8">
        <w:rPr>
          <w:rFonts w:asciiTheme="majorHAnsi" w:hAnsiTheme="majorHAnsi"/>
        </w:rPr>
        <w:t xml:space="preserve">design of a questionnaire will influence the results received. There was evidence in a number of open questions such as the question relating to what respondents do in the home to keep their water ‘safe’ </w:t>
      </w:r>
      <w:r w:rsidR="00B924A8">
        <w:rPr>
          <w:rFonts w:asciiTheme="majorHAnsi" w:hAnsiTheme="majorHAnsi"/>
        </w:rPr>
        <w:t xml:space="preserve">where the leading question received far less responses than when the question used prompting techniques to ascertain levels of knowledge. This prompting may well have skewed the overall findings. Those </w:t>
      </w:r>
      <w:proofErr w:type="gramStart"/>
      <w:r w:rsidR="00B924A8">
        <w:rPr>
          <w:rFonts w:asciiTheme="majorHAnsi" w:hAnsiTheme="majorHAnsi"/>
        </w:rPr>
        <w:t>questions which specifically used this technique</w:t>
      </w:r>
      <w:proofErr w:type="gramEnd"/>
      <w:r w:rsidR="00B924A8">
        <w:rPr>
          <w:rFonts w:asciiTheme="majorHAnsi" w:hAnsiTheme="majorHAnsi"/>
        </w:rPr>
        <w:t xml:space="preserve"> did so for a purpose. However, it is uncertain whether enumerator used the same technique for other questions where ‘probing’ was supposed to be the technique to draw out multiple responses.</w:t>
      </w:r>
    </w:p>
    <w:p w14:paraId="7C4CC98C" w14:textId="77777777" w:rsidR="00977094" w:rsidRDefault="00977094" w:rsidP="008A58BD"/>
    <w:p w14:paraId="3BF92583" w14:textId="2E027971" w:rsidR="008A58BD" w:rsidRDefault="00977094" w:rsidP="00B924A8">
      <w:pPr>
        <w:jc w:val="both"/>
        <w:rPr>
          <w:rFonts w:asciiTheme="majorHAnsi" w:hAnsiTheme="majorHAnsi"/>
        </w:rPr>
      </w:pPr>
      <w:r w:rsidRPr="00977094">
        <w:rPr>
          <w:rFonts w:asciiTheme="majorHAnsi" w:hAnsiTheme="majorHAnsi"/>
        </w:rPr>
        <w:t xml:space="preserve">The gender and age of the respondents, with 85% being women, may also have affected the quality of results. As </w:t>
      </w:r>
      <w:r w:rsidR="008A58BD" w:rsidRPr="00977094">
        <w:rPr>
          <w:rFonts w:asciiTheme="majorHAnsi" w:hAnsiTheme="majorHAnsi"/>
        </w:rPr>
        <w:t xml:space="preserve">culturally, </w:t>
      </w:r>
      <w:r w:rsidRPr="00977094">
        <w:rPr>
          <w:rFonts w:asciiTheme="majorHAnsi" w:hAnsiTheme="majorHAnsi"/>
        </w:rPr>
        <w:t xml:space="preserve">the vast majority of women and girls in the target communities remain at home while men are expected to be the bread winners, </w:t>
      </w:r>
      <w:r>
        <w:rPr>
          <w:rFonts w:asciiTheme="majorHAnsi" w:hAnsiTheme="majorHAnsi"/>
        </w:rPr>
        <w:t xml:space="preserve">there may have been less confidence to offer personal responses from a fear that their husbands or fathers would not approve. </w:t>
      </w:r>
      <w:r w:rsidR="00B924A8">
        <w:rPr>
          <w:rFonts w:asciiTheme="majorHAnsi" w:hAnsiTheme="majorHAnsi"/>
        </w:rPr>
        <w:t xml:space="preserve">This may be a factor in why </w:t>
      </w:r>
      <w:r>
        <w:rPr>
          <w:rFonts w:asciiTheme="majorHAnsi" w:hAnsiTheme="majorHAnsi"/>
        </w:rPr>
        <w:t>respondents chose not to answer many of the questions posed.</w:t>
      </w:r>
    </w:p>
    <w:p w14:paraId="7404BC3C" w14:textId="77777777" w:rsidR="00B924A8" w:rsidRDefault="00B924A8" w:rsidP="00B924A8">
      <w:pPr>
        <w:jc w:val="both"/>
        <w:rPr>
          <w:rFonts w:asciiTheme="majorHAnsi" w:hAnsiTheme="majorHAnsi"/>
        </w:rPr>
      </w:pPr>
    </w:p>
    <w:p w14:paraId="0A92CCF3" w14:textId="25DBE91A" w:rsidR="0038779F" w:rsidRPr="00B924A8" w:rsidRDefault="00B924A8" w:rsidP="00B924A8">
      <w:pPr>
        <w:jc w:val="both"/>
        <w:rPr>
          <w:rFonts w:asciiTheme="majorHAnsi" w:hAnsiTheme="majorHAnsi"/>
        </w:rPr>
      </w:pPr>
      <w:r>
        <w:rPr>
          <w:rFonts w:asciiTheme="majorHAnsi" w:hAnsiTheme="majorHAnsi"/>
        </w:rPr>
        <w:t>In conclusion, the findings from this survey should be taken as a guide rather than taken at face value. There may have been a tendency for female respondents in the highly conservative Muslim communities not to speak their mind for fear of disapproval from their spouses.</w:t>
      </w:r>
    </w:p>
    <w:p w14:paraId="545942AE" w14:textId="77777777" w:rsidR="00B924A8" w:rsidRDefault="00B924A8">
      <w:pPr>
        <w:rPr>
          <w:rFonts w:asciiTheme="majorHAnsi" w:eastAsiaTheme="majorEastAsia" w:hAnsiTheme="majorHAnsi" w:cstheme="majorBidi"/>
          <w:b/>
          <w:bCs/>
          <w:color w:val="548DD4" w:themeColor="text2" w:themeTint="99"/>
          <w:sz w:val="28"/>
          <w:szCs w:val="28"/>
        </w:rPr>
      </w:pPr>
      <w:bookmarkStart w:id="30" w:name="_Toc292703947"/>
      <w:bookmarkStart w:id="31" w:name="_Toc292704165"/>
      <w:bookmarkStart w:id="32" w:name="_Toc294273144"/>
      <w:r>
        <w:rPr>
          <w:color w:val="548DD4" w:themeColor="text2" w:themeTint="99"/>
          <w:sz w:val="28"/>
          <w:szCs w:val="28"/>
        </w:rPr>
        <w:br w:type="page"/>
      </w:r>
    </w:p>
    <w:p w14:paraId="48D4E706" w14:textId="008A4A83" w:rsidR="00254C55" w:rsidRDefault="00254C55" w:rsidP="0038779F">
      <w:pPr>
        <w:pStyle w:val="Heading1"/>
        <w:rPr>
          <w:rFonts w:ascii="Calibri" w:eastAsia="Times New Roman" w:hAnsi="Calibri" w:cs="Times New Roman"/>
          <w:sz w:val="28"/>
          <w:szCs w:val="28"/>
        </w:rPr>
      </w:pPr>
      <w:bookmarkStart w:id="33" w:name="_GoBack"/>
      <w:bookmarkEnd w:id="33"/>
      <w:r w:rsidRPr="00E64758">
        <w:rPr>
          <w:color w:val="548DD4" w:themeColor="text2" w:themeTint="99"/>
          <w:sz w:val="28"/>
          <w:szCs w:val="28"/>
        </w:rPr>
        <w:t>05</w:t>
      </w:r>
      <w:r w:rsidRPr="00E64758">
        <w:rPr>
          <w:color w:val="548DD4" w:themeColor="text2" w:themeTint="99"/>
          <w:sz w:val="28"/>
          <w:szCs w:val="28"/>
        </w:rPr>
        <w:tab/>
      </w:r>
      <w:r w:rsidR="0038779F" w:rsidRPr="00E64758">
        <w:rPr>
          <w:color w:val="548DD4" w:themeColor="text2" w:themeTint="99"/>
          <w:sz w:val="28"/>
          <w:szCs w:val="28"/>
        </w:rPr>
        <w:t xml:space="preserve">Results and </w:t>
      </w:r>
      <w:r w:rsidR="00212B5C">
        <w:rPr>
          <w:color w:val="548DD4" w:themeColor="text2" w:themeTint="99"/>
          <w:sz w:val="28"/>
          <w:szCs w:val="28"/>
        </w:rPr>
        <w:t>F</w:t>
      </w:r>
      <w:r w:rsidR="0038779F" w:rsidRPr="00E64758">
        <w:rPr>
          <w:color w:val="548DD4" w:themeColor="text2" w:themeTint="99"/>
          <w:sz w:val="28"/>
          <w:szCs w:val="28"/>
        </w:rPr>
        <w:t>indings</w:t>
      </w:r>
      <w:bookmarkEnd w:id="30"/>
      <w:bookmarkEnd w:id="31"/>
      <w:bookmarkEnd w:id="32"/>
      <w:r w:rsidRPr="00E64758">
        <w:rPr>
          <w:rFonts w:ascii="Calibri" w:eastAsia="Times New Roman" w:hAnsi="Calibri" w:cs="Times New Roman"/>
          <w:sz w:val="28"/>
          <w:szCs w:val="28"/>
        </w:rPr>
        <w:t xml:space="preserve"> </w:t>
      </w:r>
    </w:p>
    <w:p w14:paraId="07F0273F" w14:textId="77777777" w:rsidR="002408BA" w:rsidRPr="002408BA" w:rsidRDefault="002408BA" w:rsidP="002408BA"/>
    <w:p w14:paraId="6C5BF02A" w14:textId="77777777" w:rsidR="00254C55" w:rsidRPr="00E64758" w:rsidRDefault="00254C55" w:rsidP="00254C55">
      <w:pPr>
        <w:pStyle w:val="Heading2"/>
        <w:spacing w:after="120"/>
        <w:rPr>
          <w:color w:val="548DD4" w:themeColor="text2" w:themeTint="99"/>
          <w:sz w:val="24"/>
          <w:szCs w:val="24"/>
        </w:rPr>
      </w:pPr>
      <w:bookmarkStart w:id="34" w:name="_Toc292703948"/>
      <w:bookmarkStart w:id="35" w:name="_Toc292704166"/>
      <w:bookmarkStart w:id="36" w:name="_Toc294273145"/>
      <w:r w:rsidRPr="00E64758">
        <w:rPr>
          <w:color w:val="548DD4" w:themeColor="text2" w:themeTint="99"/>
          <w:sz w:val="24"/>
          <w:szCs w:val="24"/>
        </w:rPr>
        <w:t>DEMOGRAPHICS</w:t>
      </w:r>
      <w:bookmarkEnd w:id="34"/>
      <w:bookmarkEnd w:id="35"/>
      <w:bookmarkEnd w:id="36"/>
    </w:p>
    <w:p w14:paraId="603AA166" w14:textId="374EB889" w:rsidR="00254C55" w:rsidRPr="000F6852" w:rsidRDefault="000F6852" w:rsidP="000F6852">
      <w:pPr>
        <w:spacing w:after="120"/>
        <w:jc w:val="both"/>
        <w:rPr>
          <w:rFonts w:asciiTheme="majorHAnsi" w:hAnsiTheme="majorHAnsi"/>
        </w:rPr>
      </w:pPr>
      <w:r w:rsidRPr="000F6852">
        <w:rPr>
          <w:rFonts w:asciiTheme="majorHAnsi" w:hAnsiTheme="majorHAnsi"/>
        </w:rPr>
        <w:t>This KAP survey interviewed respondents in 428 households of the target area. The ethnic breakdown of respondents reflected the overall breakdown of the affected population. However, with only 6% of respondents being Rakhine, the relevance of presenting any data by ethnic group was very limited and thus not used in this survey.</w:t>
      </w:r>
    </w:p>
    <w:p w14:paraId="40048991" w14:textId="03D2134B" w:rsidR="002408BA" w:rsidRDefault="002408BA" w:rsidP="00254C55">
      <w:pPr>
        <w:spacing w:after="120"/>
        <w:rPr>
          <w:sz w:val="20"/>
          <w:szCs w:val="20"/>
        </w:rPr>
      </w:pPr>
      <w:r>
        <w:rPr>
          <w:noProof/>
          <w:lang w:val="en-US"/>
        </w:rPr>
        <w:drawing>
          <wp:anchor distT="0" distB="0" distL="114300" distR="114300" simplePos="0" relativeHeight="251734016" behindDoc="0" locked="0" layoutInCell="1" allowOverlap="1" wp14:anchorId="33C0C49F" wp14:editId="2D3AC73D">
            <wp:simplePos x="0" y="0"/>
            <wp:positionH relativeFrom="column">
              <wp:posOffset>2628900</wp:posOffset>
            </wp:positionH>
            <wp:positionV relativeFrom="paragraph">
              <wp:posOffset>218440</wp:posOffset>
            </wp:positionV>
            <wp:extent cx="3538220" cy="2567305"/>
            <wp:effectExtent l="0" t="0" r="0" b="0"/>
            <wp:wrapNone/>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65C8CC65" w14:textId="0F3BCA71" w:rsidR="00C17704" w:rsidRDefault="00C17704" w:rsidP="00254C55">
      <w:pPr>
        <w:spacing w:after="120"/>
        <w:rPr>
          <w:sz w:val="20"/>
          <w:szCs w:val="20"/>
        </w:rPr>
      </w:pPr>
      <w:r>
        <w:rPr>
          <w:noProof/>
          <w:lang w:val="en-US"/>
        </w:rPr>
        <w:drawing>
          <wp:inline distT="0" distB="0" distL="0" distR="0" wp14:anchorId="2C8934A0" wp14:editId="7F73FC8E">
            <wp:extent cx="2395220" cy="224282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5627E4" w14:textId="261DB39F" w:rsidR="00C17704" w:rsidRDefault="00C17704" w:rsidP="00254C55">
      <w:pPr>
        <w:spacing w:after="120"/>
        <w:rPr>
          <w:sz w:val="20"/>
          <w:szCs w:val="20"/>
        </w:rPr>
      </w:pPr>
    </w:p>
    <w:p w14:paraId="564DA327" w14:textId="4B365BFE" w:rsidR="009453BA" w:rsidRDefault="002408BA">
      <w:pPr>
        <w:rPr>
          <w:color w:val="548DD4" w:themeColor="text2" w:themeTint="99"/>
        </w:rPr>
      </w:pPr>
      <w:bookmarkStart w:id="37" w:name="_Toc292703950"/>
      <w:bookmarkStart w:id="38" w:name="_Toc292704168"/>
      <w:r>
        <w:rPr>
          <w:noProof/>
          <w:lang w:val="en-US"/>
        </w:rPr>
        <w:drawing>
          <wp:anchor distT="0" distB="0" distL="114300" distR="114300" simplePos="0" relativeHeight="251735040" behindDoc="0" locked="0" layoutInCell="1" allowOverlap="1" wp14:anchorId="6EE27B7D" wp14:editId="48E0CC4E">
            <wp:simplePos x="0" y="0"/>
            <wp:positionH relativeFrom="column">
              <wp:posOffset>0</wp:posOffset>
            </wp:positionH>
            <wp:positionV relativeFrom="paragraph">
              <wp:posOffset>74295</wp:posOffset>
            </wp:positionV>
            <wp:extent cx="2400300" cy="2171700"/>
            <wp:effectExtent l="0" t="0" r="0" b="0"/>
            <wp:wrapNone/>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47392EA6" w14:textId="3F68021B" w:rsidR="004F43F8" w:rsidRDefault="002408BA">
      <w:pPr>
        <w:rPr>
          <w:color w:val="548DD4" w:themeColor="text2" w:themeTint="99"/>
        </w:rPr>
      </w:pPr>
      <w:r>
        <w:rPr>
          <w:noProof/>
          <w:lang w:val="en-US"/>
        </w:rPr>
        <w:drawing>
          <wp:anchor distT="0" distB="0" distL="114300" distR="114300" simplePos="0" relativeHeight="251736064" behindDoc="0" locked="0" layoutInCell="1" allowOverlap="1" wp14:anchorId="52AE7A37" wp14:editId="164F457D">
            <wp:simplePos x="0" y="0"/>
            <wp:positionH relativeFrom="column">
              <wp:posOffset>2628900</wp:posOffset>
            </wp:positionH>
            <wp:positionV relativeFrom="paragraph">
              <wp:posOffset>124460</wp:posOffset>
            </wp:positionV>
            <wp:extent cx="3469640" cy="2057400"/>
            <wp:effectExtent l="0" t="0" r="10160" b="0"/>
            <wp:wrapNone/>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2102C3B5" w14:textId="77777777" w:rsidR="00071E2D" w:rsidRDefault="00071E2D" w:rsidP="00071E2D">
      <w:pPr>
        <w:jc w:val="both"/>
        <w:rPr>
          <w:rFonts w:asciiTheme="majorHAnsi" w:hAnsiTheme="majorHAnsi"/>
        </w:rPr>
      </w:pPr>
    </w:p>
    <w:p w14:paraId="021AC6DB" w14:textId="77777777" w:rsidR="00071E2D" w:rsidRDefault="00071E2D" w:rsidP="00071E2D">
      <w:pPr>
        <w:jc w:val="both"/>
        <w:rPr>
          <w:rFonts w:asciiTheme="majorHAnsi" w:hAnsiTheme="majorHAnsi"/>
        </w:rPr>
      </w:pPr>
    </w:p>
    <w:p w14:paraId="584B79B4" w14:textId="77777777" w:rsidR="00071E2D" w:rsidRDefault="00071E2D" w:rsidP="00071E2D">
      <w:pPr>
        <w:jc w:val="both"/>
        <w:rPr>
          <w:rFonts w:asciiTheme="majorHAnsi" w:hAnsiTheme="majorHAnsi"/>
        </w:rPr>
      </w:pPr>
    </w:p>
    <w:p w14:paraId="6288C66F" w14:textId="77777777" w:rsidR="00071E2D" w:rsidRDefault="00071E2D" w:rsidP="00071E2D">
      <w:pPr>
        <w:jc w:val="both"/>
        <w:rPr>
          <w:rFonts w:asciiTheme="majorHAnsi" w:hAnsiTheme="majorHAnsi"/>
        </w:rPr>
      </w:pPr>
    </w:p>
    <w:p w14:paraId="34316B37" w14:textId="77777777" w:rsidR="00071E2D" w:rsidRDefault="00071E2D" w:rsidP="00071E2D">
      <w:pPr>
        <w:jc w:val="both"/>
        <w:rPr>
          <w:rFonts w:asciiTheme="majorHAnsi" w:hAnsiTheme="majorHAnsi"/>
        </w:rPr>
      </w:pPr>
    </w:p>
    <w:p w14:paraId="6429C58C" w14:textId="77777777" w:rsidR="00071E2D" w:rsidRDefault="00071E2D" w:rsidP="00071E2D">
      <w:pPr>
        <w:jc w:val="both"/>
        <w:rPr>
          <w:rFonts w:asciiTheme="majorHAnsi" w:hAnsiTheme="majorHAnsi"/>
        </w:rPr>
      </w:pPr>
    </w:p>
    <w:p w14:paraId="318C67CC" w14:textId="77777777" w:rsidR="00071E2D" w:rsidRDefault="00071E2D" w:rsidP="00071E2D">
      <w:pPr>
        <w:jc w:val="both"/>
        <w:rPr>
          <w:rFonts w:asciiTheme="majorHAnsi" w:hAnsiTheme="majorHAnsi"/>
        </w:rPr>
      </w:pPr>
    </w:p>
    <w:p w14:paraId="7276D213" w14:textId="77777777" w:rsidR="00071E2D" w:rsidRDefault="00071E2D" w:rsidP="00071E2D">
      <w:pPr>
        <w:jc w:val="both"/>
        <w:rPr>
          <w:rFonts w:asciiTheme="majorHAnsi" w:hAnsiTheme="majorHAnsi"/>
        </w:rPr>
      </w:pPr>
    </w:p>
    <w:p w14:paraId="66EADD1E" w14:textId="77777777" w:rsidR="00071E2D" w:rsidRDefault="00071E2D" w:rsidP="00071E2D">
      <w:pPr>
        <w:jc w:val="both"/>
        <w:rPr>
          <w:rFonts w:asciiTheme="majorHAnsi" w:hAnsiTheme="majorHAnsi"/>
        </w:rPr>
      </w:pPr>
    </w:p>
    <w:p w14:paraId="7DFB0AE1" w14:textId="77777777" w:rsidR="002408BA" w:rsidRDefault="002408BA" w:rsidP="00071E2D">
      <w:pPr>
        <w:jc w:val="both"/>
        <w:rPr>
          <w:rFonts w:asciiTheme="majorHAnsi" w:hAnsiTheme="majorHAnsi"/>
        </w:rPr>
      </w:pPr>
    </w:p>
    <w:p w14:paraId="22DD579F" w14:textId="77777777" w:rsidR="002408BA" w:rsidRDefault="002408BA" w:rsidP="00071E2D">
      <w:pPr>
        <w:jc w:val="both"/>
        <w:rPr>
          <w:rFonts w:asciiTheme="majorHAnsi" w:hAnsiTheme="majorHAnsi"/>
        </w:rPr>
      </w:pPr>
    </w:p>
    <w:p w14:paraId="2077283C" w14:textId="77777777" w:rsidR="002408BA" w:rsidRDefault="002408BA" w:rsidP="00071E2D">
      <w:pPr>
        <w:jc w:val="both"/>
        <w:rPr>
          <w:rFonts w:asciiTheme="majorHAnsi" w:hAnsiTheme="majorHAnsi"/>
        </w:rPr>
      </w:pPr>
    </w:p>
    <w:p w14:paraId="020BEDBA" w14:textId="541E07DB" w:rsidR="004F43F8" w:rsidRPr="008A32C0" w:rsidRDefault="00A45730" w:rsidP="00071E2D">
      <w:pPr>
        <w:jc w:val="both"/>
        <w:rPr>
          <w:rFonts w:asciiTheme="majorHAnsi" w:hAnsiTheme="majorHAnsi"/>
        </w:rPr>
      </w:pPr>
      <w:r>
        <w:rPr>
          <w:rFonts w:asciiTheme="majorHAnsi" w:hAnsiTheme="majorHAnsi"/>
        </w:rPr>
        <w:t>The</w:t>
      </w:r>
      <w:r w:rsidR="008A32C0" w:rsidRPr="008A32C0">
        <w:rPr>
          <w:rFonts w:asciiTheme="majorHAnsi" w:hAnsiTheme="majorHAnsi"/>
        </w:rPr>
        <w:t xml:space="preserve"> average size of respondent households was 6.2 </w:t>
      </w:r>
      <w:proofErr w:type="gramStart"/>
      <w:r w:rsidR="008A32C0" w:rsidRPr="008A32C0">
        <w:rPr>
          <w:rFonts w:asciiTheme="majorHAnsi" w:hAnsiTheme="majorHAnsi"/>
        </w:rPr>
        <w:t>members which</w:t>
      </w:r>
      <w:proofErr w:type="gramEnd"/>
      <w:r w:rsidR="008A32C0" w:rsidRPr="008A32C0">
        <w:rPr>
          <w:rFonts w:asciiTheme="majorHAnsi" w:hAnsiTheme="majorHAnsi"/>
        </w:rPr>
        <w:t xml:space="preserve"> is fractionally higher than the average used by the CCCM Cluster for the camp list (5.5 members).</w:t>
      </w:r>
      <w:r>
        <w:rPr>
          <w:rFonts w:asciiTheme="majorHAnsi" w:hAnsiTheme="majorHAnsi"/>
        </w:rPr>
        <w:t xml:space="preserve"> Within households the gender divide is equal with 50.1% men and 49.9% women with no significant differences between villages and</w:t>
      </w:r>
      <w:r w:rsidR="00071E2D">
        <w:rPr>
          <w:rFonts w:asciiTheme="majorHAnsi" w:hAnsiTheme="majorHAnsi"/>
        </w:rPr>
        <w:t xml:space="preserve"> the IDP camps. Children under 18</w:t>
      </w:r>
      <w:r>
        <w:rPr>
          <w:rFonts w:asciiTheme="majorHAnsi" w:hAnsiTheme="majorHAnsi"/>
        </w:rPr>
        <w:t xml:space="preserve">-years-old account for </w:t>
      </w:r>
      <w:r w:rsidR="00071E2D">
        <w:rPr>
          <w:rFonts w:asciiTheme="majorHAnsi" w:hAnsiTheme="majorHAnsi"/>
        </w:rPr>
        <w:t xml:space="preserve">53% of the target population while children under 5 </w:t>
      </w:r>
      <w:proofErr w:type="gramStart"/>
      <w:r w:rsidR="00071E2D">
        <w:rPr>
          <w:rFonts w:asciiTheme="majorHAnsi" w:hAnsiTheme="majorHAnsi"/>
        </w:rPr>
        <w:t>years-old</w:t>
      </w:r>
      <w:proofErr w:type="gramEnd"/>
      <w:r w:rsidR="00071E2D">
        <w:rPr>
          <w:rFonts w:asciiTheme="majorHAnsi" w:hAnsiTheme="majorHAnsi"/>
        </w:rPr>
        <w:t xml:space="preserve"> account for 20%</w:t>
      </w:r>
      <w:r w:rsidR="002408BA">
        <w:rPr>
          <w:rFonts w:asciiTheme="majorHAnsi" w:hAnsiTheme="majorHAnsi"/>
        </w:rPr>
        <w:t>. The majority of respondents were women (85% and half of the respondents were aged between 30 and 60 years old.</w:t>
      </w:r>
    </w:p>
    <w:p w14:paraId="1EABB424" w14:textId="77777777" w:rsidR="004F43F8" w:rsidRDefault="004F43F8">
      <w:pPr>
        <w:rPr>
          <w:rFonts w:asciiTheme="majorHAnsi" w:eastAsiaTheme="majorEastAsia" w:hAnsiTheme="majorHAnsi" w:cstheme="majorBidi"/>
          <w:b/>
          <w:bCs/>
          <w:color w:val="548DD4" w:themeColor="text2" w:themeTint="99"/>
        </w:rPr>
      </w:pPr>
    </w:p>
    <w:p w14:paraId="474C417D" w14:textId="4DAB4AF9" w:rsidR="004F43F8" w:rsidRDefault="004F43F8">
      <w:pPr>
        <w:rPr>
          <w:rFonts w:asciiTheme="majorHAnsi" w:eastAsiaTheme="majorEastAsia" w:hAnsiTheme="majorHAnsi" w:cstheme="majorBidi"/>
          <w:b/>
          <w:bCs/>
          <w:color w:val="548DD4" w:themeColor="text2" w:themeTint="99"/>
        </w:rPr>
      </w:pPr>
      <w:r>
        <w:rPr>
          <w:color w:val="548DD4" w:themeColor="text2" w:themeTint="99"/>
        </w:rPr>
        <w:br w:type="page"/>
      </w:r>
    </w:p>
    <w:p w14:paraId="1FAA9E5A" w14:textId="3C2A8C11" w:rsidR="00254C55" w:rsidRDefault="00254C55" w:rsidP="00254C55">
      <w:pPr>
        <w:pStyle w:val="Heading2"/>
        <w:spacing w:after="120"/>
        <w:rPr>
          <w:color w:val="548DD4" w:themeColor="text2" w:themeTint="99"/>
          <w:sz w:val="24"/>
          <w:szCs w:val="24"/>
        </w:rPr>
      </w:pPr>
      <w:bookmarkStart w:id="39" w:name="_Toc294273146"/>
      <w:r w:rsidRPr="00E64758">
        <w:rPr>
          <w:color w:val="548DD4" w:themeColor="text2" w:themeTint="99"/>
          <w:sz w:val="24"/>
          <w:szCs w:val="24"/>
        </w:rPr>
        <w:t xml:space="preserve">WATER ACCESS AND </w:t>
      </w:r>
      <w:r w:rsidR="00AB7B3D">
        <w:rPr>
          <w:color w:val="548DD4" w:themeColor="text2" w:themeTint="99"/>
          <w:sz w:val="24"/>
          <w:szCs w:val="24"/>
        </w:rPr>
        <w:t>DIARRHOEA</w:t>
      </w:r>
      <w:bookmarkEnd w:id="37"/>
      <w:bookmarkEnd w:id="38"/>
      <w:bookmarkEnd w:id="39"/>
      <w:r w:rsidRPr="00E64758">
        <w:rPr>
          <w:color w:val="548DD4" w:themeColor="text2" w:themeTint="99"/>
          <w:sz w:val="24"/>
          <w:szCs w:val="24"/>
        </w:rPr>
        <w:t xml:space="preserve"> </w:t>
      </w:r>
    </w:p>
    <w:p w14:paraId="6A4D4F5A" w14:textId="77777777" w:rsidR="009453BA" w:rsidRPr="009453BA" w:rsidRDefault="009453BA" w:rsidP="009453BA"/>
    <w:p w14:paraId="5D62F560" w14:textId="020F8F0F" w:rsidR="00254C55" w:rsidRDefault="00367C38" w:rsidP="00753666">
      <w:pPr>
        <w:spacing w:after="120"/>
        <w:jc w:val="both"/>
        <w:rPr>
          <w:rFonts w:asciiTheme="majorHAnsi" w:hAnsiTheme="majorHAnsi"/>
        </w:rPr>
      </w:pPr>
      <w:r>
        <w:rPr>
          <w:rFonts w:asciiTheme="majorHAnsi" w:hAnsiTheme="majorHAnsi"/>
        </w:rPr>
        <w:t>The majority of respondents in the target area extract</w:t>
      </w:r>
      <w:r w:rsidR="00753666">
        <w:rPr>
          <w:rFonts w:asciiTheme="majorHAnsi" w:hAnsiTheme="majorHAnsi"/>
        </w:rPr>
        <w:t xml:space="preserve"> water </w:t>
      </w:r>
      <w:r>
        <w:rPr>
          <w:rFonts w:asciiTheme="majorHAnsi" w:hAnsiTheme="majorHAnsi"/>
        </w:rPr>
        <w:t>from b</w:t>
      </w:r>
      <w:r w:rsidR="00AA398E" w:rsidRPr="00AA398E">
        <w:rPr>
          <w:rFonts w:asciiTheme="majorHAnsi" w:hAnsiTheme="majorHAnsi"/>
        </w:rPr>
        <w:t xml:space="preserve">oreholes </w:t>
      </w:r>
      <w:r>
        <w:rPr>
          <w:rFonts w:asciiTheme="majorHAnsi" w:hAnsiTheme="majorHAnsi"/>
        </w:rPr>
        <w:t xml:space="preserve">for all household uses. In the IDP camps, where there are less options for alternative water sources, 95% of respondents reported using boreholes for both drinking water and other domestic uses whilst in the </w:t>
      </w:r>
      <w:r w:rsidR="00753666">
        <w:rPr>
          <w:rFonts w:asciiTheme="majorHAnsi" w:hAnsiTheme="majorHAnsi"/>
        </w:rPr>
        <w:t xml:space="preserve">target </w:t>
      </w:r>
      <w:r>
        <w:rPr>
          <w:rFonts w:asciiTheme="majorHAnsi" w:hAnsiTheme="majorHAnsi"/>
        </w:rPr>
        <w:t>villages</w:t>
      </w:r>
      <w:r w:rsidR="00753666">
        <w:rPr>
          <w:rFonts w:asciiTheme="majorHAnsi" w:hAnsiTheme="majorHAnsi"/>
        </w:rPr>
        <w:t xml:space="preserve"> of the Township</w:t>
      </w:r>
      <w:r>
        <w:rPr>
          <w:rFonts w:asciiTheme="majorHAnsi" w:hAnsiTheme="majorHAnsi"/>
        </w:rPr>
        <w:t xml:space="preserve">, </w:t>
      </w:r>
      <w:r w:rsidR="00753666">
        <w:rPr>
          <w:rFonts w:asciiTheme="majorHAnsi" w:hAnsiTheme="majorHAnsi"/>
        </w:rPr>
        <w:t>almost a third of respondents extract water from open wells (30%).</w:t>
      </w:r>
    </w:p>
    <w:p w14:paraId="00DC55E1" w14:textId="77777777" w:rsidR="001F5007" w:rsidRPr="00AA398E" w:rsidRDefault="001F5007" w:rsidP="00753666">
      <w:pPr>
        <w:spacing w:after="120"/>
        <w:jc w:val="both"/>
        <w:rPr>
          <w:rFonts w:asciiTheme="majorHAnsi" w:hAnsiTheme="majorHAnsi"/>
        </w:rPr>
      </w:pPr>
    </w:p>
    <w:p w14:paraId="1CF7362A" w14:textId="35316EA8" w:rsidR="002F443D" w:rsidRDefault="002F443D" w:rsidP="00254C55">
      <w:pPr>
        <w:spacing w:after="120"/>
        <w:rPr>
          <w:sz w:val="20"/>
          <w:szCs w:val="20"/>
        </w:rPr>
      </w:pPr>
      <w:r>
        <w:rPr>
          <w:noProof/>
          <w:lang w:val="en-US"/>
        </w:rPr>
        <w:drawing>
          <wp:inline distT="0" distB="0" distL="0" distR="0" wp14:anchorId="446EEB7D" wp14:editId="63CD8D19">
            <wp:extent cx="3195320" cy="2618740"/>
            <wp:effectExtent l="0" t="0" r="508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lang w:val="en-US"/>
        </w:rPr>
        <w:drawing>
          <wp:anchor distT="0" distB="0" distL="114300" distR="114300" simplePos="0" relativeHeight="251657215" behindDoc="0" locked="0" layoutInCell="1" allowOverlap="1" wp14:anchorId="4E8011C0" wp14:editId="5ED79E93">
            <wp:simplePos x="0" y="0"/>
            <wp:positionH relativeFrom="column">
              <wp:posOffset>3200400</wp:posOffset>
            </wp:positionH>
            <wp:positionV relativeFrom="paragraph">
              <wp:posOffset>31750</wp:posOffset>
            </wp:positionV>
            <wp:extent cx="2628900" cy="2628900"/>
            <wp:effectExtent l="0" t="0" r="0" b="0"/>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5EFF3D37" w14:textId="77777777" w:rsidR="001F5007" w:rsidRDefault="001F5007" w:rsidP="009401E8">
      <w:pPr>
        <w:spacing w:after="120"/>
        <w:jc w:val="both"/>
        <w:rPr>
          <w:rFonts w:asciiTheme="majorHAnsi" w:hAnsiTheme="majorHAnsi"/>
        </w:rPr>
      </w:pPr>
    </w:p>
    <w:p w14:paraId="52E5B190" w14:textId="6F090D20" w:rsidR="002F443D" w:rsidRPr="00ED4ED2" w:rsidRDefault="00753666" w:rsidP="009401E8">
      <w:pPr>
        <w:spacing w:after="120"/>
        <w:jc w:val="both"/>
        <w:rPr>
          <w:rFonts w:asciiTheme="majorHAnsi" w:hAnsiTheme="majorHAnsi"/>
        </w:rPr>
      </w:pPr>
      <w:r w:rsidRPr="00ED4ED2">
        <w:rPr>
          <w:rFonts w:asciiTheme="majorHAnsi" w:hAnsiTheme="majorHAnsi"/>
        </w:rPr>
        <w:t xml:space="preserve">The majority of water sources in the township </w:t>
      </w:r>
      <w:r w:rsidR="009401E8">
        <w:rPr>
          <w:rFonts w:asciiTheme="majorHAnsi" w:hAnsiTheme="majorHAnsi"/>
        </w:rPr>
        <w:t xml:space="preserve">were reported to be </w:t>
      </w:r>
      <w:r w:rsidRPr="00ED4ED2">
        <w:rPr>
          <w:rFonts w:asciiTheme="majorHAnsi" w:hAnsiTheme="majorHAnsi"/>
        </w:rPr>
        <w:t xml:space="preserve">perennial. However, a third of all respondents </w:t>
      </w:r>
      <w:r w:rsidR="00ED4ED2">
        <w:rPr>
          <w:rFonts w:asciiTheme="majorHAnsi" w:hAnsiTheme="majorHAnsi"/>
        </w:rPr>
        <w:t xml:space="preserve">(29%) reported a need to change water sources during the year. </w:t>
      </w:r>
      <w:r w:rsidR="000918A4">
        <w:rPr>
          <w:rFonts w:asciiTheme="majorHAnsi" w:hAnsiTheme="majorHAnsi"/>
        </w:rPr>
        <w:t>In the IDP camps,</w:t>
      </w:r>
      <w:r w:rsidR="009401E8">
        <w:rPr>
          <w:rFonts w:asciiTheme="majorHAnsi" w:hAnsiTheme="majorHAnsi"/>
        </w:rPr>
        <w:t xml:space="preserve"> the change was reported as mainly due to the breakdown of handpumps whereas in the villages, where shallow open wells are popular, changes in water quality particularly affecting taste as well as low recharge rates in the peak dry season were cited as the primary reasons for changing water sources.</w:t>
      </w:r>
    </w:p>
    <w:p w14:paraId="50D9C604" w14:textId="74DB111A" w:rsidR="002F443D" w:rsidRDefault="005966FC" w:rsidP="00254C55">
      <w:pPr>
        <w:spacing w:after="120"/>
        <w:rPr>
          <w:sz w:val="20"/>
          <w:szCs w:val="20"/>
        </w:rPr>
      </w:pPr>
      <w:r>
        <w:rPr>
          <w:noProof/>
          <w:lang w:val="en-US"/>
        </w:rPr>
        <w:drawing>
          <wp:inline distT="0" distB="0" distL="0" distR="0" wp14:anchorId="3A10D9D9" wp14:editId="67F4B800">
            <wp:extent cx="2509520" cy="2778760"/>
            <wp:effectExtent l="0" t="0" r="508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545E49">
        <w:rPr>
          <w:noProof/>
          <w:lang w:val="en-US"/>
        </w:rPr>
        <w:drawing>
          <wp:inline distT="0" distB="0" distL="0" distR="0" wp14:anchorId="132C1A12" wp14:editId="3243C7B8">
            <wp:extent cx="3073400" cy="2997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DD4F2E3" w14:textId="77777777" w:rsidR="00FA0DA0" w:rsidRDefault="00FA0DA0" w:rsidP="00254C55">
      <w:pPr>
        <w:spacing w:after="120"/>
        <w:rPr>
          <w:rFonts w:asciiTheme="majorHAnsi" w:hAnsiTheme="majorHAnsi"/>
        </w:rPr>
      </w:pPr>
    </w:p>
    <w:p w14:paraId="4D8E6616" w14:textId="5CDD0022" w:rsidR="002F443D" w:rsidRPr="00FA0DA0" w:rsidRDefault="00FA0DA0" w:rsidP="002D5450">
      <w:pPr>
        <w:spacing w:after="120"/>
        <w:jc w:val="both"/>
        <w:rPr>
          <w:rFonts w:asciiTheme="majorHAnsi" w:hAnsiTheme="majorHAnsi"/>
        </w:rPr>
      </w:pPr>
      <w:r>
        <w:rPr>
          <w:rFonts w:asciiTheme="majorHAnsi" w:hAnsiTheme="majorHAnsi"/>
        </w:rPr>
        <w:t>K</w:t>
      </w:r>
      <w:r w:rsidRPr="00FA0DA0">
        <w:rPr>
          <w:rFonts w:asciiTheme="majorHAnsi" w:hAnsiTheme="majorHAnsi"/>
        </w:rPr>
        <w:t>nowledge of water related illness</w:t>
      </w:r>
      <w:r>
        <w:rPr>
          <w:rFonts w:asciiTheme="majorHAnsi" w:hAnsiTheme="majorHAnsi"/>
        </w:rPr>
        <w:t>es</w:t>
      </w:r>
      <w:r w:rsidRPr="00FA0DA0">
        <w:rPr>
          <w:rFonts w:asciiTheme="majorHAnsi" w:hAnsiTheme="majorHAnsi"/>
        </w:rPr>
        <w:t xml:space="preserve"> is rather limited </w:t>
      </w:r>
      <w:r>
        <w:rPr>
          <w:rFonts w:asciiTheme="majorHAnsi" w:hAnsiTheme="majorHAnsi"/>
        </w:rPr>
        <w:t xml:space="preserve">across </w:t>
      </w:r>
      <w:r w:rsidRPr="00FA0DA0">
        <w:rPr>
          <w:rFonts w:asciiTheme="majorHAnsi" w:hAnsiTheme="majorHAnsi"/>
        </w:rPr>
        <w:t>the target area</w:t>
      </w:r>
      <w:r>
        <w:rPr>
          <w:rFonts w:asciiTheme="majorHAnsi" w:hAnsiTheme="majorHAnsi"/>
        </w:rPr>
        <w:t xml:space="preserve"> with little difference between those living in </w:t>
      </w:r>
      <w:r w:rsidR="002D5450">
        <w:rPr>
          <w:rFonts w:asciiTheme="majorHAnsi" w:hAnsiTheme="majorHAnsi"/>
        </w:rPr>
        <w:t xml:space="preserve">IDP </w:t>
      </w:r>
      <w:r>
        <w:rPr>
          <w:rFonts w:asciiTheme="majorHAnsi" w:hAnsiTheme="majorHAnsi"/>
        </w:rPr>
        <w:t>camps and those in villages</w:t>
      </w:r>
      <w:r w:rsidRPr="00FA0DA0">
        <w:rPr>
          <w:rFonts w:asciiTheme="majorHAnsi" w:hAnsiTheme="majorHAnsi"/>
        </w:rPr>
        <w:t>.</w:t>
      </w:r>
      <w:r>
        <w:rPr>
          <w:rFonts w:asciiTheme="majorHAnsi" w:hAnsiTheme="majorHAnsi"/>
        </w:rPr>
        <w:t xml:space="preserve"> Whilst 45% of respondents could name one wat</w:t>
      </w:r>
      <w:r w:rsidR="002D5450">
        <w:rPr>
          <w:rFonts w:asciiTheme="majorHAnsi" w:hAnsiTheme="majorHAnsi"/>
        </w:rPr>
        <w:t>er related illness, mainly diarrhoea, only 31% could name 2 illnesses and 14% named 3 water-related illnesses. Respondents have a clear understanding that diarrhoea can be caused by water (83% of all respondents). However, few respondents demonstrated an understanding that skin and eye infections can be caused by water</w:t>
      </w:r>
      <w:proofErr w:type="gramStart"/>
      <w:r w:rsidR="002D5450">
        <w:rPr>
          <w:rFonts w:asciiTheme="majorHAnsi" w:hAnsiTheme="majorHAnsi"/>
        </w:rPr>
        <w:t>;</w:t>
      </w:r>
      <w:proofErr w:type="gramEnd"/>
      <w:r w:rsidR="002D5450">
        <w:rPr>
          <w:rFonts w:asciiTheme="majorHAnsi" w:hAnsiTheme="majorHAnsi"/>
        </w:rPr>
        <w:t xml:space="preserve"> 12% and 6% respectively.</w:t>
      </w:r>
    </w:p>
    <w:p w14:paraId="4C849658" w14:textId="28C1B207" w:rsidR="00545E49" w:rsidRDefault="00545E49" w:rsidP="00254C55">
      <w:pPr>
        <w:spacing w:after="120"/>
        <w:rPr>
          <w:sz w:val="20"/>
          <w:szCs w:val="20"/>
        </w:rPr>
      </w:pPr>
    </w:p>
    <w:p w14:paraId="13475A76" w14:textId="663E1679" w:rsidR="00B4083B" w:rsidRDefault="00B4083B" w:rsidP="00254C55">
      <w:pPr>
        <w:spacing w:after="120"/>
        <w:rPr>
          <w:sz w:val="20"/>
          <w:szCs w:val="20"/>
        </w:rPr>
      </w:pPr>
      <w:r>
        <w:rPr>
          <w:noProof/>
          <w:lang w:val="en-US"/>
        </w:rPr>
        <w:drawing>
          <wp:anchor distT="0" distB="0" distL="114300" distR="114300" simplePos="0" relativeHeight="251696128" behindDoc="0" locked="0" layoutInCell="1" allowOverlap="1" wp14:anchorId="0BC8A8BC" wp14:editId="5FBF339D">
            <wp:simplePos x="0" y="0"/>
            <wp:positionH relativeFrom="column">
              <wp:posOffset>3543300</wp:posOffset>
            </wp:positionH>
            <wp:positionV relativeFrom="paragraph">
              <wp:posOffset>21590</wp:posOffset>
            </wp:positionV>
            <wp:extent cx="2514600" cy="3314700"/>
            <wp:effectExtent l="0" t="0" r="0" b="0"/>
            <wp:wrapNone/>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267B11">
        <w:rPr>
          <w:noProof/>
          <w:lang w:val="en-US"/>
        </w:rPr>
        <w:drawing>
          <wp:inline distT="0" distB="0" distL="0" distR="0" wp14:anchorId="76F10FD2" wp14:editId="7200B1C1">
            <wp:extent cx="3439160" cy="3218180"/>
            <wp:effectExtent l="0" t="0" r="0" b="762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2321715" w14:textId="77777777" w:rsidR="00B4083B" w:rsidRDefault="00B4083B" w:rsidP="00254C55">
      <w:pPr>
        <w:spacing w:after="120"/>
        <w:rPr>
          <w:sz w:val="20"/>
          <w:szCs w:val="20"/>
        </w:rPr>
      </w:pPr>
    </w:p>
    <w:p w14:paraId="7F35F630" w14:textId="1AE5EBAA" w:rsidR="007F572D" w:rsidRDefault="007F572D" w:rsidP="007F572D">
      <w:pPr>
        <w:rPr>
          <w:sz w:val="20"/>
          <w:szCs w:val="20"/>
        </w:rPr>
      </w:pPr>
    </w:p>
    <w:p w14:paraId="4E4E7B25" w14:textId="50C25F72" w:rsidR="007F572D" w:rsidRDefault="007F572D" w:rsidP="00D14C77">
      <w:pPr>
        <w:jc w:val="both"/>
        <w:rPr>
          <w:rFonts w:asciiTheme="majorHAnsi" w:hAnsiTheme="majorHAnsi"/>
        </w:rPr>
      </w:pPr>
      <w:r w:rsidRPr="007F572D">
        <w:rPr>
          <w:rFonts w:asciiTheme="majorHAnsi" w:hAnsiTheme="majorHAnsi"/>
        </w:rPr>
        <w:t xml:space="preserve">When questioned about the causes of diarrhoea, </w:t>
      </w:r>
      <w:r>
        <w:rPr>
          <w:rFonts w:asciiTheme="majorHAnsi" w:hAnsiTheme="majorHAnsi"/>
        </w:rPr>
        <w:t xml:space="preserve">almost all respondents were able to identify one cause. However, </w:t>
      </w:r>
      <w:r w:rsidR="00D14C77">
        <w:rPr>
          <w:rFonts w:asciiTheme="majorHAnsi" w:hAnsiTheme="majorHAnsi"/>
        </w:rPr>
        <w:t>less than half of all respondents could ide</w:t>
      </w:r>
      <w:r w:rsidR="000918A4">
        <w:rPr>
          <w:rFonts w:asciiTheme="majorHAnsi" w:hAnsiTheme="majorHAnsi"/>
        </w:rPr>
        <w:t>ntify 2 causes (43%) and only 13</w:t>
      </w:r>
      <w:r w:rsidR="00D14C77">
        <w:rPr>
          <w:rFonts w:asciiTheme="majorHAnsi" w:hAnsiTheme="majorHAnsi"/>
        </w:rPr>
        <w:t>%</w:t>
      </w:r>
      <w:r w:rsidR="009D22BB">
        <w:rPr>
          <w:rFonts w:asciiTheme="majorHAnsi" w:hAnsiTheme="majorHAnsi"/>
        </w:rPr>
        <w:t xml:space="preserve"> could identify 3 or more</w:t>
      </w:r>
      <w:r w:rsidR="00D14C77">
        <w:rPr>
          <w:rFonts w:asciiTheme="majorHAnsi" w:hAnsiTheme="majorHAnsi"/>
        </w:rPr>
        <w:t>.</w:t>
      </w:r>
    </w:p>
    <w:p w14:paraId="3E82237E" w14:textId="0C97DD5F" w:rsidR="007F572D" w:rsidRDefault="007F572D" w:rsidP="007F572D">
      <w:pPr>
        <w:rPr>
          <w:rFonts w:asciiTheme="majorHAnsi" w:hAnsiTheme="majorHAnsi"/>
        </w:rPr>
      </w:pPr>
    </w:p>
    <w:p w14:paraId="21987264" w14:textId="77777777" w:rsidR="007F572D" w:rsidRPr="007F572D" w:rsidRDefault="007F572D" w:rsidP="007F572D">
      <w:pPr>
        <w:rPr>
          <w:rFonts w:asciiTheme="majorHAnsi" w:hAnsiTheme="majorHAnsi"/>
        </w:rPr>
      </w:pPr>
    </w:p>
    <w:p w14:paraId="3E15FA5F" w14:textId="77777777" w:rsidR="009D22BB" w:rsidRDefault="00D14C77" w:rsidP="001F5007">
      <w:pPr>
        <w:ind w:left="720" w:firstLine="720"/>
        <w:rPr>
          <w:rFonts w:asciiTheme="majorHAnsi" w:hAnsiTheme="majorHAnsi"/>
        </w:rPr>
      </w:pPr>
      <w:r>
        <w:rPr>
          <w:noProof/>
          <w:lang w:val="en-US"/>
        </w:rPr>
        <w:drawing>
          <wp:inline distT="0" distB="0" distL="0" distR="0" wp14:anchorId="5B3C3D77" wp14:editId="01A83764">
            <wp:extent cx="3575050" cy="2161540"/>
            <wp:effectExtent l="0" t="0" r="6350" b="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498FDF0" w14:textId="77777777" w:rsidR="009D22BB" w:rsidRDefault="009D22BB" w:rsidP="007F572D">
      <w:pPr>
        <w:rPr>
          <w:rFonts w:asciiTheme="majorHAnsi" w:hAnsiTheme="majorHAnsi"/>
        </w:rPr>
      </w:pPr>
    </w:p>
    <w:p w14:paraId="543280BA" w14:textId="5A269AD6" w:rsidR="007F572D" w:rsidRPr="009D22BB" w:rsidRDefault="009D22BB" w:rsidP="00045E01">
      <w:pPr>
        <w:jc w:val="both"/>
        <w:rPr>
          <w:rFonts w:asciiTheme="majorHAnsi" w:hAnsiTheme="majorHAnsi"/>
        </w:rPr>
      </w:pPr>
      <w:r w:rsidRPr="009D22BB">
        <w:rPr>
          <w:rFonts w:asciiTheme="majorHAnsi" w:hAnsiTheme="majorHAnsi"/>
        </w:rPr>
        <w:t xml:space="preserve">Surprisingly, </w:t>
      </w:r>
      <w:r w:rsidR="00E169C8">
        <w:rPr>
          <w:rFonts w:asciiTheme="majorHAnsi" w:hAnsiTheme="majorHAnsi"/>
        </w:rPr>
        <w:t xml:space="preserve">more respondents associated dirty food as a </w:t>
      </w:r>
      <w:r w:rsidR="00045E01">
        <w:rPr>
          <w:rFonts w:asciiTheme="majorHAnsi" w:hAnsiTheme="majorHAnsi"/>
        </w:rPr>
        <w:t>cause of diarrhoea (55</w:t>
      </w:r>
      <w:r w:rsidR="00E169C8">
        <w:rPr>
          <w:rFonts w:asciiTheme="majorHAnsi" w:hAnsiTheme="majorHAnsi"/>
        </w:rPr>
        <w:t>%</w:t>
      </w:r>
      <w:r w:rsidR="00045E01">
        <w:rPr>
          <w:rFonts w:asciiTheme="majorHAnsi" w:hAnsiTheme="majorHAnsi"/>
        </w:rPr>
        <w:t>) than ‘unclean</w:t>
      </w:r>
      <w:r w:rsidR="00E169C8">
        <w:rPr>
          <w:rFonts w:asciiTheme="majorHAnsi" w:hAnsiTheme="majorHAnsi"/>
        </w:rPr>
        <w:t xml:space="preserve"> or </w:t>
      </w:r>
      <w:r w:rsidR="00045E01">
        <w:rPr>
          <w:rFonts w:asciiTheme="majorHAnsi" w:hAnsiTheme="majorHAnsi"/>
        </w:rPr>
        <w:t xml:space="preserve">unsafe water’ (46%). As the questionnaire addressed the subject of diarrhoea prevention and treatment at the outset of the survey, </w:t>
      </w:r>
      <w:proofErr w:type="gramStart"/>
      <w:r w:rsidR="00045E01">
        <w:rPr>
          <w:rFonts w:asciiTheme="majorHAnsi" w:hAnsiTheme="majorHAnsi"/>
        </w:rPr>
        <w:t xml:space="preserve">respondents were not influenced by the </w:t>
      </w:r>
      <w:r w:rsidR="00E169C8">
        <w:rPr>
          <w:rFonts w:asciiTheme="majorHAnsi" w:hAnsiTheme="majorHAnsi"/>
        </w:rPr>
        <w:t>water</w:t>
      </w:r>
      <w:proofErr w:type="gramEnd"/>
      <w:r w:rsidR="00E169C8">
        <w:rPr>
          <w:rFonts w:asciiTheme="majorHAnsi" w:hAnsiTheme="majorHAnsi"/>
        </w:rPr>
        <w:t xml:space="preserve"> and sanitation </w:t>
      </w:r>
      <w:r w:rsidR="00045E01">
        <w:rPr>
          <w:rFonts w:asciiTheme="majorHAnsi" w:hAnsiTheme="majorHAnsi"/>
        </w:rPr>
        <w:t xml:space="preserve">related questions which followed. It was also interesting to </w:t>
      </w:r>
      <w:r w:rsidR="006B71D0">
        <w:rPr>
          <w:rFonts w:asciiTheme="majorHAnsi" w:hAnsiTheme="majorHAnsi"/>
        </w:rPr>
        <w:t xml:space="preserve">note </w:t>
      </w:r>
      <w:r w:rsidR="00045E01">
        <w:rPr>
          <w:rFonts w:asciiTheme="majorHAnsi" w:hAnsiTheme="majorHAnsi"/>
        </w:rPr>
        <w:t xml:space="preserve">that 6% </w:t>
      </w:r>
      <w:r w:rsidR="00E169C8">
        <w:rPr>
          <w:rFonts w:asciiTheme="majorHAnsi" w:hAnsiTheme="majorHAnsi"/>
        </w:rPr>
        <w:t xml:space="preserve">of respondents also </w:t>
      </w:r>
      <w:r w:rsidR="00045E01">
        <w:rPr>
          <w:rFonts w:asciiTheme="majorHAnsi" w:hAnsiTheme="majorHAnsi"/>
        </w:rPr>
        <w:t>mentioned leaving food uncovered and 8% vector transmission.</w:t>
      </w:r>
      <w:r w:rsidR="006B71D0">
        <w:rPr>
          <w:rFonts w:asciiTheme="majorHAnsi" w:hAnsiTheme="majorHAnsi"/>
        </w:rPr>
        <w:t xml:space="preserve"> Transmission from dirty hands was reported by </w:t>
      </w:r>
      <w:r w:rsidR="00E169C8">
        <w:rPr>
          <w:rFonts w:asciiTheme="majorHAnsi" w:hAnsiTheme="majorHAnsi"/>
        </w:rPr>
        <w:t xml:space="preserve">almost a third </w:t>
      </w:r>
      <w:r w:rsidR="00195060">
        <w:rPr>
          <w:rFonts w:asciiTheme="majorHAnsi" w:hAnsiTheme="majorHAnsi"/>
        </w:rPr>
        <w:t>of respondents</w:t>
      </w:r>
      <w:r w:rsidR="00E169C8">
        <w:rPr>
          <w:rFonts w:asciiTheme="majorHAnsi" w:hAnsiTheme="majorHAnsi"/>
        </w:rPr>
        <w:t xml:space="preserve"> (28%)</w:t>
      </w:r>
      <w:r w:rsidR="00195060">
        <w:rPr>
          <w:rFonts w:asciiTheme="majorHAnsi" w:hAnsiTheme="majorHAnsi"/>
        </w:rPr>
        <w:t>.</w:t>
      </w:r>
    </w:p>
    <w:p w14:paraId="1BF81713" w14:textId="77777777" w:rsidR="00E13A8C" w:rsidRDefault="00E13A8C" w:rsidP="007F572D">
      <w:pPr>
        <w:rPr>
          <w:sz w:val="20"/>
          <w:szCs w:val="20"/>
        </w:rPr>
      </w:pPr>
    </w:p>
    <w:p w14:paraId="1799EB6D" w14:textId="0F4CFEE9" w:rsidR="00E13A8C" w:rsidRDefault="00E13A8C" w:rsidP="007F572D">
      <w:pPr>
        <w:rPr>
          <w:sz w:val="20"/>
          <w:szCs w:val="20"/>
        </w:rPr>
      </w:pPr>
      <w:r>
        <w:rPr>
          <w:noProof/>
          <w:lang w:val="en-US"/>
        </w:rPr>
        <w:drawing>
          <wp:anchor distT="0" distB="0" distL="114300" distR="114300" simplePos="0" relativeHeight="251704320" behindDoc="0" locked="0" layoutInCell="1" allowOverlap="1" wp14:anchorId="0E96A3E9" wp14:editId="7B9539F2">
            <wp:simplePos x="0" y="0"/>
            <wp:positionH relativeFrom="column">
              <wp:posOffset>3657600</wp:posOffset>
            </wp:positionH>
            <wp:positionV relativeFrom="paragraph">
              <wp:posOffset>74295</wp:posOffset>
            </wp:positionV>
            <wp:extent cx="2514600" cy="2857500"/>
            <wp:effectExtent l="0" t="0" r="0" b="0"/>
            <wp:wrapNone/>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06E97EEE" w14:textId="1C374489" w:rsidR="00E13A8C" w:rsidRDefault="00E13A8C" w:rsidP="007F572D">
      <w:pPr>
        <w:rPr>
          <w:sz w:val="20"/>
          <w:szCs w:val="20"/>
        </w:rPr>
      </w:pPr>
      <w:r w:rsidRPr="00E13A8C">
        <w:rPr>
          <w:noProof/>
          <w:lang w:val="en-US"/>
        </w:rPr>
        <w:t xml:space="preserve"> </w:t>
      </w:r>
      <w:r>
        <w:rPr>
          <w:noProof/>
          <w:lang w:val="en-US"/>
        </w:rPr>
        <w:drawing>
          <wp:inline distT="0" distB="0" distL="0" distR="0" wp14:anchorId="2ECF1677" wp14:editId="1865A5CF">
            <wp:extent cx="3662680" cy="2743200"/>
            <wp:effectExtent l="0" t="0" r="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6B72B21" w14:textId="77777777" w:rsidR="00E13A8C" w:rsidRDefault="00E13A8C" w:rsidP="007F572D">
      <w:pPr>
        <w:rPr>
          <w:sz w:val="20"/>
          <w:szCs w:val="20"/>
        </w:rPr>
      </w:pPr>
    </w:p>
    <w:p w14:paraId="7BFE7371" w14:textId="77777777" w:rsidR="00E13A8C" w:rsidRDefault="00E13A8C" w:rsidP="007F572D">
      <w:pPr>
        <w:rPr>
          <w:sz w:val="20"/>
          <w:szCs w:val="20"/>
        </w:rPr>
      </w:pPr>
    </w:p>
    <w:p w14:paraId="03ACA21E" w14:textId="4ABE10C5" w:rsidR="002A25D2" w:rsidRDefault="00E169C8" w:rsidP="00E169C8">
      <w:pPr>
        <w:jc w:val="both"/>
        <w:rPr>
          <w:rFonts w:asciiTheme="majorHAnsi" w:hAnsiTheme="majorHAnsi"/>
        </w:rPr>
      </w:pPr>
      <w:r w:rsidRPr="00E169C8">
        <w:rPr>
          <w:rFonts w:asciiTheme="majorHAnsi" w:hAnsiTheme="majorHAnsi"/>
        </w:rPr>
        <w:t xml:space="preserve">As </w:t>
      </w:r>
      <w:r>
        <w:rPr>
          <w:rFonts w:asciiTheme="majorHAnsi" w:hAnsiTheme="majorHAnsi"/>
        </w:rPr>
        <w:t xml:space="preserve">children are more susceptible to diarrhoea than adults, </w:t>
      </w:r>
      <w:r w:rsidR="002A25D2">
        <w:rPr>
          <w:rFonts w:asciiTheme="majorHAnsi" w:hAnsiTheme="majorHAnsi"/>
        </w:rPr>
        <w:t xml:space="preserve">questions for </w:t>
      </w:r>
      <w:r>
        <w:rPr>
          <w:rFonts w:asciiTheme="majorHAnsi" w:hAnsiTheme="majorHAnsi"/>
        </w:rPr>
        <w:t xml:space="preserve">health seeking behaviour for severe diarrhoea focused on children. Respondents reported a clear understanding of </w:t>
      </w:r>
      <w:r w:rsidR="002A25D2">
        <w:rPr>
          <w:rFonts w:asciiTheme="majorHAnsi" w:hAnsiTheme="majorHAnsi"/>
        </w:rPr>
        <w:t xml:space="preserve">the importance of </w:t>
      </w:r>
      <w:r>
        <w:rPr>
          <w:rFonts w:asciiTheme="majorHAnsi" w:hAnsiTheme="majorHAnsi"/>
        </w:rPr>
        <w:t xml:space="preserve">treating </w:t>
      </w:r>
      <w:r w:rsidR="002A25D2">
        <w:rPr>
          <w:rFonts w:asciiTheme="majorHAnsi" w:hAnsiTheme="majorHAnsi"/>
        </w:rPr>
        <w:t xml:space="preserve">severe </w:t>
      </w:r>
      <w:r>
        <w:rPr>
          <w:rFonts w:asciiTheme="majorHAnsi" w:hAnsiTheme="majorHAnsi"/>
        </w:rPr>
        <w:t>diarrhoea with oral rehydration salts (ORS) with 70% reporting treating their childr</w:t>
      </w:r>
      <w:r w:rsidR="002A25D2">
        <w:rPr>
          <w:rFonts w:asciiTheme="majorHAnsi" w:hAnsiTheme="majorHAnsi"/>
        </w:rPr>
        <w:t>en with sachets of ORS which is</w:t>
      </w:r>
      <w:r>
        <w:rPr>
          <w:rFonts w:asciiTheme="majorHAnsi" w:hAnsiTheme="majorHAnsi"/>
        </w:rPr>
        <w:t xml:space="preserve"> available across the target area. Although, WASH agencies are not </w:t>
      </w:r>
      <w:r w:rsidR="002A25D2">
        <w:rPr>
          <w:rFonts w:asciiTheme="majorHAnsi" w:hAnsiTheme="majorHAnsi"/>
        </w:rPr>
        <w:t xml:space="preserve">actively </w:t>
      </w:r>
      <w:r>
        <w:rPr>
          <w:rFonts w:asciiTheme="majorHAnsi" w:hAnsiTheme="majorHAnsi"/>
        </w:rPr>
        <w:t>promoting the us</w:t>
      </w:r>
      <w:r w:rsidR="002A25D2">
        <w:rPr>
          <w:rFonts w:asciiTheme="majorHAnsi" w:hAnsiTheme="majorHAnsi"/>
        </w:rPr>
        <w:t xml:space="preserve">e of home-made ORS for fear beneficiaries will not be prepare it correctly, 21% respondent households reported using this method and a further 3% administering coconut water. </w:t>
      </w:r>
    </w:p>
    <w:p w14:paraId="3394FD68" w14:textId="77777777" w:rsidR="002A25D2" w:rsidRDefault="002A25D2" w:rsidP="00E169C8">
      <w:pPr>
        <w:jc w:val="both"/>
        <w:rPr>
          <w:rFonts w:asciiTheme="majorHAnsi" w:hAnsiTheme="majorHAnsi"/>
        </w:rPr>
      </w:pPr>
    </w:p>
    <w:p w14:paraId="6B9FA9D0" w14:textId="3ED46D48" w:rsidR="00E13A8C" w:rsidRPr="00E169C8" w:rsidRDefault="002A25D2" w:rsidP="001F5007">
      <w:pPr>
        <w:ind w:left="720" w:firstLine="720"/>
        <w:jc w:val="both"/>
        <w:rPr>
          <w:rFonts w:asciiTheme="majorHAnsi" w:hAnsiTheme="majorHAnsi"/>
        </w:rPr>
      </w:pPr>
      <w:r>
        <w:rPr>
          <w:noProof/>
          <w:lang w:val="en-US"/>
        </w:rPr>
        <w:drawing>
          <wp:inline distT="0" distB="0" distL="0" distR="0" wp14:anchorId="76713619" wp14:editId="38246148">
            <wp:extent cx="4539826" cy="2719493"/>
            <wp:effectExtent l="0" t="0" r="698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asciiTheme="majorHAnsi" w:hAnsiTheme="majorHAnsi"/>
        </w:rPr>
        <w:t xml:space="preserve"> </w:t>
      </w:r>
    </w:p>
    <w:p w14:paraId="160ED724" w14:textId="77777777" w:rsidR="00E169C8" w:rsidRDefault="00E169C8" w:rsidP="007F572D">
      <w:pPr>
        <w:rPr>
          <w:sz w:val="20"/>
          <w:szCs w:val="20"/>
        </w:rPr>
      </w:pPr>
    </w:p>
    <w:p w14:paraId="7F3BD173" w14:textId="789635FF" w:rsidR="007F572D" w:rsidRDefault="007F572D" w:rsidP="007F572D">
      <w:pPr>
        <w:rPr>
          <w:sz w:val="20"/>
          <w:szCs w:val="20"/>
        </w:rPr>
      </w:pPr>
    </w:p>
    <w:p w14:paraId="34DF253C" w14:textId="2E45441C" w:rsidR="007F572D" w:rsidRPr="00DA55A5" w:rsidRDefault="00DA55A5" w:rsidP="00DA55A5">
      <w:pPr>
        <w:jc w:val="both"/>
        <w:rPr>
          <w:rFonts w:asciiTheme="majorHAnsi" w:hAnsiTheme="majorHAnsi"/>
        </w:rPr>
      </w:pPr>
      <w:r w:rsidRPr="00DA55A5">
        <w:rPr>
          <w:rFonts w:asciiTheme="majorHAnsi" w:hAnsiTheme="majorHAnsi"/>
        </w:rPr>
        <w:t xml:space="preserve">When questioned about whether diarrhoea could be prevented, 53% of respondents reported that it could whilst 39% believed diarrhoea to be inevitable. </w:t>
      </w:r>
      <w:r w:rsidR="005035D1">
        <w:rPr>
          <w:rFonts w:asciiTheme="majorHAnsi" w:hAnsiTheme="majorHAnsi"/>
        </w:rPr>
        <w:t xml:space="preserve">Respondents appeared to associate this to the season with the hot season (60%) and the change from the hot season to the rainy season (35%) being cited as the times of highest diarrhoea prevalence. </w:t>
      </w:r>
      <w:r w:rsidR="00062B1F">
        <w:rPr>
          <w:rFonts w:asciiTheme="majorHAnsi" w:hAnsiTheme="majorHAnsi"/>
        </w:rPr>
        <w:t>When asked what respondents could do to prevent diarrhoea</w:t>
      </w:r>
      <w:r w:rsidR="005035D1">
        <w:rPr>
          <w:rFonts w:asciiTheme="majorHAnsi" w:hAnsiTheme="majorHAnsi"/>
        </w:rPr>
        <w:t xml:space="preserve"> in the home, ‘drinking safe water’ was the most popular response (35% of respondents) whereas ‘eating safe food’ was the second most popular (24%). The difference between respondents’ answer</w:t>
      </w:r>
      <w:r w:rsidR="00D32B2B">
        <w:rPr>
          <w:rFonts w:asciiTheme="majorHAnsi" w:hAnsiTheme="majorHAnsi"/>
        </w:rPr>
        <w:t>s</w:t>
      </w:r>
      <w:r w:rsidR="005035D1">
        <w:rPr>
          <w:rFonts w:asciiTheme="majorHAnsi" w:hAnsiTheme="majorHAnsi"/>
        </w:rPr>
        <w:t xml:space="preserve"> for the causes of diarrhoea </w:t>
      </w:r>
      <w:r w:rsidR="00D32B2B">
        <w:rPr>
          <w:rFonts w:asciiTheme="majorHAnsi" w:hAnsiTheme="majorHAnsi"/>
        </w:rPr>
        <w:t xml:space="preserve">where ‘dirty food’ was the most popular response against methods </w:t>
      </w:r>
      <w:r w:rsidR="005035D1">
        <w:rPr>
          <w:rFonts w:asciiTheme="majorHAnsi" w:hAnsiTheme="majorHAnsi"/>
        </w:rPr>
        <w:t xml:space="preserve">to prevent diarrhoea </w:t>
      </w:r>
      <w:r w:rsidR="00D32B2B">
        <w:rPr>
          <w:rFonts w:asciiTheme="majorHAnsi" w:hAnsiTheme="majorHAnsi"/>
        </w:rPr>
        <w:t xml:space="preserve">in the home </w:t>
      </w:r>
      <w:r w:rsidR="005035D1">
        <w:rPr>
          <w:rFonts w:asciiTheme="majorHAnsi" w:hAnsiTheme="majorHAnsi"/>
        </w:rPr>
        <w:t xml:space="preserve">is likely to be due to the fact that the respondent had </w:t>
      </w:r>
      <w:r w:rsidR="00D32B2B">
        <w:rPr>
          <w:rFonts w:asciiTheme="majorHAnsi" w:hAnsiTheme="majorHAnsi"/>
        </w:rPr>
        <w:t>been asked a series of water-</w:t>
      </w:r>
      <w:r w:rsidR="005035D1">
        <w:rPr>
          <w:rFonts w:asciiTheme="majorHAnsi" w:hAnsiTheme="majorHAnsi"/>
        </w:rPr>
        <w:t>related questions and would therefore</w:t>
      </w:r>
      <w:r w:rsidR="00D32B2B">
        <w:rPr>
          <w:rFonts w:asciiTheme="majorHAnsi" w:hAnsiTheme="majorHAnsi"/>
        </w:rPr>
        <w:t xml:space="preserve"> be more likely to be aware that the survey was connected to WASH activities</w:t>
      </w:r>
      <w:r w:rsidR="005035D1">
        <w:rPr>
          <w:rFonts w:asciiTheme="majorHAnsi" w:hAnsiTheme="majorHAnsi"/>
        </w:rPr>
        <w:t>.</w:t>
      </w:r>
      <w:r w:rsidR="00D32B2B">
        <w:rPr>
          <w:rFonts w:asciiTheme="majorHAnsi" w:hAnsiTheme="majorHAnsi"/>
        </w:rPr>
        <w:t xml:space="preserve"> Handwashing with soap and using a latrine, the other two of the ‘4-cleans’</w:t>
      </w:r>
      <w:r w:rsidR="00D32B2B">
        <w:rPr>
          <w:rStyle w:val="FootnoteReference"/>
          <w:rFonts w:asciiTheme="majorHAnsi" w:hAnsiTheme="majorHAnsi"/>
        </w:rPr>
        <w:footnoteReference w:id="6"/>
      </w:r>
      <w:r w:rsidR="00D32B2B">
        <w:rPr>
          <w:rFonts w:asciiTheme="majorHAnsi" w:hAnsiTheme="majorHAnsi"/>
        </w:rPr>
        <w:t xml:space="preserve"> were reported less</w:t>
      </w:r>
      <w:proofErr w:type="gramStart"/>
      <w:r w:rsidR="00D32B2B">
        <w:rPr>
          <w:rFonts w:asciiTheme="majorHAnsi" w:hAnsiTheme="majorHAnsi"/>
        </w:rPr>
        <w:t>;</w:t>
      </w:r>
      <w:proofErr w:type="gramEnd"/>
      <w:r w:rsidR="00D32B2B">
        <w:rPr>
          <w:rFonts w:asciiTheme="majorHAnsi" w:hAnsiTheme="majorHAnsi"/>
        </w:rPr>
        <w:t xml:space="preserve"> 17% and 2% respectively.</w:t>
      </w:r>
      <w:r w:rsidR="00110F21">
        <w:rPr>
          <w:rFonts w:asciiTheme="majorHAnsi" w:hAnsiTheme="majorHAnsi"/>
        </w:rPr>
        <w:t xml:space="preserve"> It is interesting to note that at this point in the questionnaire, when latrine usage had not been mentioned that few respondents mentioned an association with diarrhoea and latrine usage</w:t>
      </w:r>
    </w:p>
    <w:p w14:paraId="0AD43A4A" w14:textId="6F4C8145" w:rsidR="007F572D" w:rsidRDefault="007F572D" w:rsidP="00DA55A5">
      <w:pPr>
        <w:jc w:val="both"/>
        <w:rPr>
          <w:rFonts w:asciiTheme="majorHAnsi" w:hAnsiTheme="majorHAnsi"/>
        </w:rPr>
      </w:pPr>
    </w:p>
    <w:p w14:paraId="077F4310" w14:textId="77777777" w:rsidR="0040740D" w:rsidRPr="00DA55A5" w:rsidRDefault="0040740D" w:rsidP="00DA55A5">
      <w:pPr>
        <w:jc w:val="both"/>
        <w:rPr>
          <w:rFonts w:asciiTheme="majorHAnsi" w:hAnsiTheme="majorHAnsi"/>
        </w:rPr>
      </w:pPr>
    </w:p>
    <w:p w14:paraId="0ACCE042" w14:textId="65082D00" w:rsidR="007F572D" w:rsidRDefault="00062B1F" w:rsidP="007F572D">
      <w:pPr>
        <w:rPr>
          <w:sz w:val="20"/>
          <w:szCs w:val="20"/>
        </w:rPr>
      </w:pPr>
      <w:r>
        <w:rPr>
          <w:noProof/>
          <w:lang w:val="en-US"/>
        </w:rPr>
        <w:drawing>
          <wp:anchor distT="0" distB="0" distL="114300" distR="114300" simplePos="0" relativeHeight="251705344" behindDoc="0" locked="0" layoutInCell="1" allowOverlap="1" wp14:anchorId="5D09C1A9" wp14:editId="2E90E8D5">
            <wp:simplePos x="0" y="0"/>
            <wp:positionH relativeFrom="column">
              <wp:posOffset>3543300</wp:posOffset>
            </wp:positionH>
            <wp:positionV relativeFrom="paragraph">
              <wp:posOffset>15875</wp:posOffset>
            </wp:positionV>
            <wp:extent cx="2743200" cy="2743200"/>
            <wp:effectExtent l="0" t="0" r="0" b="0"/>
            <wp:wrapNone/>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Pr>
          <w:noProof/>
          <w:lang w:val="en-US"/>
        </w:rPr>
        <w:drawing>
          <wp:inline distT="0" distB="0" distL="0" distR="0" wp14:anchorId="4C4AD2BD" wp14:editId="66B4C87E">
            <wp:extent cx="3652520" cy="2743200"/>
            <wp:effectExtent l="0" t="0" r="508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EB97F17" w14:textId="77777777" w:rsidR="00062B1F" w:rsidRDefault="00062B1F" w:rsidP="007F572D">
      <w:pPr>
        <w:rPr>
          <w:sz w:val="20"/>
          <w:szCs w:val="20"/>
        </w:rPr>
      </w:pPr>
    </w:p>
    <w:p w14:paraId="4D4D5891" w14:textId="1CDBAF7F" w:rsidR="00062B1F" w:rsidRPr="00254C55" w:rsidRDefault="00062B1F" w:rsidP="007F572D">
      <w:pPr>
        <w:rPr>
          <w:sz w:val="20"/>
          <w:szCs w:val="20"/>
        </w:rPr>
      </w:pPr>
    </w:p>
    <w:p w14:paraId="533096DF" w14:textId="77777777" w:rsidR="00234AEC" w:rsidRDefault="00234AEC" w:rsidP="00234AEC">
      <w:pPr>
        <w:spacing w:after="120"/>
        <w:jc w:val="both"/>
        <w:rPr>
          <w:rFonts w:asciiTheme="majorHAnsi" w:hAnsiTheme="majorHAnsi"/>
        </w:rPr>
      </w:pPr>
    </w:p>
    <w:p w14:paraId="7C105452" w14:textId="07AA432A" w:rsidR="002D5450" w:rsidRDefault="00234AEC" w:rsidP="00234AEC">
      <w:pPr>
        <w:spacing w:after="120"/>
        <w:jc w:val="both"/>
        <w:rPr>
          <w:rFonts w:asciiTheme="majorHAnsi" w:hAnsiTheme="majorHAnsi"/>
        </w:rPr>
      </w:pPr>
      <w:r>
        <w:rPr>
          <w:rFonts w:asciiTheme="majorHAnsi" w:hAnsiTheme="majorHAnsi"/>
        </w:rPr>
        <w:t xml:space="preserve">To follow-up on questions </w:t>
      </w:r>
      <w:r w:rsidR="0040740D">
        <w:rPr>
          <w:rFonts w:asciiTheme="majorHAnsi" w:hAnsiTheme="majorHAnsi"/>
        </w:rPr>
        <w:t xml:space="preserve">relating to </w:t>
      </w:r>
      <w:r>
        <w:rPr>
          <w:rFonts w:asciiTheme="majorHAnsi" w:hAnsiTheme="majorHAnsi"/>
        </w:rPr>
        <w:t>diarrhoea prevention</w:t>
      </w:r>
      <w:r w:rsidR="00B77DD2">
        <w:rPr>
          <w:rFonts w:asciiTheme="majorHAnsi" w:hAnsiTheme="majorHAnsi"/>
        </w:rPr>
        <w:t xml:space="preserve"> in the home, r</w:t>
      </w:r>
      <w:r>
        <w:rPr>
          <w:rFonts w:asciiTheme="majorHAnsi" w:hAnsiTheme="majorHAnsi"/>
        </w:rPr>
        <w:t>espondents were asked whether they thought their children were likely to suffer from severe diarrhoea in the next month</w:t>
      </w:r>
      <w:r w:rsidR="0040740D">
        <w:rPr>
          <w:rFonts w:asciiTheme="majorHAnsi" w:hAnsiTheme="majorHAnsi"/>
        </w:rPr>
        <w:t>;</w:t>
      </w:r>
      <w:r>
        <w:rPr>
          <w:rFonts w:asciiTheme="majorHAnsi" w:hAnsiTheme="majorHAnsi"/>
        </w:rPr>
        <w:t xml:space="preserve"> the period </w:t>
      </w:r>
      <w:r w:rsidR="00B77DD2">
        <w:rPr>
          <w:rFonts w:asciiTheme="majorHAnsi" w:hAnsiTheme="majorHAnsi"/>
        </w:rPr>
        <w:t>corresponding with the</w:t>
      </w:r>
      <w:r>
        <w:rPr>
          <w:rFonts w:asciiTheme="majorHAnsi" w:hAnsiTheme="majorHAnsi"/>
        </w:rPr>
        <w:t xml:space="preserve"> highest </w:t>
      </w:r>
      <w:r w:rsidR="001871DD">
        <w:rPr>
          <w:rFonts w:asciiTheme="majorHAnsi" w:hAnsiTheme="majorHAnsi"/>
        </w:rPr>
        <w:t>prevalence</w:t>
      </w:r>
      <w:r w:rsidR="00B77DD2">
        <w:rPr>
          <w:rFonts w:asciiTheme="majorHAnsi" w:hAnsiTheme="majorHAnsi"/>
        </w:rPr>
        <w:t xml:space="preserve"> of </w:t>
      </w:r>
      <w:r w:rsidR="0040740D">
        <w:rPr>
          <w:rFonts w:asciiTheme="majorHAnsi" w:hAnsiTheme="majorHAnsi"/>
        </w:rPr>
        <w:t>diarrhoea</w:t>
      </w:r>
      <w:r>
        <w:rPr>
          <w:rFonts w:asciiTheme="majorHAnsi" w:hAnsiTheme="majorHAnsi"/>
        </w:rPr>
        <w:t>.</w:t>
      </w:r>
      <w:r w:rsidR="00B77DD2">
        <w:rPr>
          <w:rFonts w:asciiTheme="majorHAnsi" w:hAnsiTheme="majorHAnsi"/>
        </w:rPr>
        <w:t xml:space="preserve"> </w:t>
      </w:r>
      <w:r w:rsidRPr="00234AEC">
        <w:rPr>
          <w:rFonts w:asciiTheme="majorHAnsi" w:hAnsiTheme="majorHAnsi"/>
        </w:rPr>
        <w:t xml:space="preserve"> </w:t>
      </w:r>
      <w:r w:rsidR="0040740D">
        <w:rPr>
          <w:rFonts w:asciiTheme="majorHAnsi" w:hAnsiTheme="majorHAnsi"/>
        </w:rPr>
        <w:t xml:space="preserve">One in four respondents (26%) believed their children would suffer severe diarrhoea in this period with half of these respondents attributing the diarrhoea to dirty hands (13%). </w:t>
      </w:r>
    </w:p>
    <w:p w14:paraId="407C7299" w14:textId="77777777" w:rsidR="0040740D" w:rsidRDefault="0040740D" w:rsidP="00234AEC">
      <w:pPr>
        <w:spacing w:after="120"/>
        <w:jc w:val="both"/>
        <w:rPr>
          <w:rFonts w:asciiTheme="majorHAnsi" w:hAnsiTheme="majorHAnsi"/>
        </w:rPr>
      </w:pPr>
    </w:p>
    <w:p w14:paraId="014535D9" w14:textId="77777777" w:rsidR="0040740D" w:rsidRDefault="0040740D" w:rsidP="00234AEC">
      <w:pPr>
        <w:spacing w:after="120"/>
        <w:jc w:val="both"/>
        <w:rPr>
          <w:rFonts w:asciiTheme="majorHAnsi" w:hAnsiTheme="majorHAnsi"/>
        </w:rPr>
      </w:pPr>
    </w:p>
    <w:p w14:paraId="14B28422" w14:textId="77777777" w:rsidR="0040740D" w:rsidRDefault="0040740D" w:rsidP="00234AEC">
      <w:pPr>
        <w:spacing w:after="120"/>
        <w:jc w:val="both"/>
        <w:rPr>
          <w:rFonts w:asciiTheme="majorHAnsi" w:hAnsiTheme="majorHAnsi"/>
        </w:rPr>
      </w:pPr>
    </w:p>
    <w:p w14:paraId="50737E38" w14:textId="77777777" w:rsidR="0040740D" w:rsidRDefault="0040740D" w:rsidP="00234AEC">
      <w:pPr>
        <w:spacing w:after="120"/>
        <w:jc w:val="both"/>
        <w:rPr>
          <w:rFonts w:asciiTheme="majorHAnsi" w:hAnsiTheme="majorHAnsi"/>
        </w:rPr>
      </w:pPr>
    </w:p>
    <w:p w14:paraId="79BE1A22" w14:textId="063B7CC5" w:rsidR="0040740D" w:rsidRDefault="0040740D" w:rsidP="00234AEC">
      <w:pPr>
        <w:spacing w:after="120"/>
        <w:jc w:val="both"/>
        <w:rPr>
          <w:rFonts w:asciiTheme="majorHAnsi" w:hAnsiTheme="majorHAnsi"/>
        </w:rPr>
      </w:pPr>
      <w:r w:rsidRPr="00234AEC">
        <w:rPr>
          <w:rFonts w:asciiTheme="majorHAnsi" w:hAnsiTheme="majorHAnsi"/>
          <w:noProof/>
          <w:lang w:val="en-US"/>
        </w:rPr>
        <w:drawing>
          <wp:anchor distT="0" distB="0" distL="114300" distR="114300" simplePos="0" relativeHeight="251707392" behindDoc="0" locked="0" layoutInCell="1" allowOverlap="1" wp14:anchorId="1B352745" wp14:editId="397660EF">
            <wp:simplePos x="0" y="0"/>
            <wp:positionH relativeFrom="column">
              <wp:posOffset>-114300</wp:posOffset>
            </wp:positionH>
            <wp:positionV relativeFrom="paragraph">
              <wp:posOffset>88900</wp:posOffset>
            </wp:positionV>
            <wp:extent cx="3200400" cy="3086100"/>
            <wp:effectExtent l="0" t="0" r="0" b="0"/>
            <wp:wrapSquare wrapText="bothSides"/>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Pr>
          <w:noProof/>
          <w:lang w:val="en-US"/>
        </w:rPr>
        <w:drawing>
          <wp:inline distT="0" distB="0" distL="0" distR="0" wp14:anchorId="61812A05" wp14:editId="1AC29E79">
            <wp:extent cx="3081020" cy="3119120"/>
            <wp:effectExtent l="0" t="0" r="0" b="508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CFD8ADB" w14:textId="77777777" w:rsidR="0040740D" w:rsidRDefault="0040740D" w:rsidP="00234AEC">
      <w:pPr>
        <w:spacing w:after="120"/>
        <w:jc w:val="both"/>
        <w:rPr>
          <w:rFonts w:asciiTheme="majorHAnsi" w:hAnsiTheme="majorHAnsi"/>
        </w:rPr>
      </w:pPr>
    </w:p>
    <w:p w14:paraId="75C4BAD0" w14:textId="3BAE1CF3" w:rsidR="0040740D" w:rsidRDefault="0040740D" w:rsidP="00234AEC">
      <w:pPr>
        <w:spacing w:after="120"/>
        <w:jc w:val="both"/>
        <w:rPr>
          <w:rFonts w:asciiTheme="majorHAnsi" w:hAnsiTheme="majorHAnsi"/>
        </w:rPr>
      </w:pPr>
    </w:p>
    <w:p w14:paraId="29DF5955" w14:textId="3854755F" w:rsidR="0040740D" w:rsidRPr="008A01FB" w:rsidRDefault="00081F1E" w:rsidP="00234AEC">
      <w:pPr>
        <w:spacing w:after="120"/>
        <w:jc w:val="both"/>
        <w:rPr>
          <w:rFonts w:asciiTheme="majorHAnsi" w:hAnsiTheme="majorHAnsi"/>
          <w:b/>
          <w:color w:val="548DD4" w:themeColor="text2" w:themeTint="99"/>
        </w:rPr>
      </w:pPr>
      <w:r w:rsidRPr="008A01FB">
        <w:rPr>
          <w:rFonts w:asciiTheme="majorHAnsi" w:hAnsiTheme="majorHAnsi"/>
          <w:b/>
          <w:color w:val="548DD4" w:themeColor="text2" w:themeTint="99"/>
        </w:rPr>
        <w:t xml:space="preserve">Water </w:t>
      </w:r>
      <w:r w:rsidR="006F2BF8" w:rsidRPr="008A01FB">
        <w:rPr>
          <w:rFonts w:asciiTheme="majorHAnsi" w:hAnsiTheme="majorHAnsi"/>
          <w:b/>
          <w:color w:val="548DD4" w:themeColor="text2" w:themeTint="99"/>
        </w:rPr>
        <w:t xml:space="preserve">Use </w:t>
      </w:r>
      <w:r w:rsidRPr="008A01FB">
        <w:rPr>
          <w:rFonts w:asciiTheme="majorHAnsi" w:hAnsiTheme="majorHAnsi"/>
          <w:b/>
          <w:color w:val="548DD4" w:themeColor="text2" w:themeTint="99"/>
        </w:rPr>
        <w:t xml:space="preserve">Behaviour </w:t>
      </w:r>
    </w:p>
    <w:p w14:paraId="563ABF23" w14:textId="0A4E6FE7" w:rsidR="0008425D" w:rsidRDefault="00794A49" w:rsidP="00234AEC">
      <w:pPr>
        <w:spacing w:after="120"/>
        <w:jc w:val="both"/>
        <w:rPr>
          <w:rFonts w:asciiTheme="majorHAnsi" w:hAnsiTheme="majorHAnsi"/>
        </w:rPr>
      </w:pPr>
      <w:r>
        <w:rPr>
          <w:rFonts w:asciiTheme="majorHAnsi" w:hAnsiTheme="majorHAnsi"/>
        </w:rPr>
        <w:t>Almost all respondents (95</w:t>
      </w:r>
      <w:r w:rsidR="00E37452">
        <w:rPr>
          <w:rFonts w:asciiTheme="majorHAnsi" w:hAnsiTheme="majorHAnsi"/>
        </w:rPr>
        <w:t>%) reported that they do something in the home to keep their drinking water safe</w:t>
      </w:r>
      <w:r w:rsidR="00F11376">
        <w:rPr>
          <w:rFonts w:asciiTheme="majorHAnsi" w:hAnsiTheme="majorHAnsi"/>
        </w:rPr>
        <w:t xml:space="preserve">. </w:t>
      </w:r>
      <w:r w:rsidR="0008425D">
        <w:rPr>
          <w:rFonts w:asciiTheme="majorHAnsi" w:hAnsiTheme="majorHAnsi"/>
        </w:rPr>
        <w:t>When asked what they do</w:t>
      </w:r>
      <w:r>
        <w:rPr>
          <w:rFonts w:asciiTheme="majorHAnsi" w:hAnsiTheme="majorHAnsi"/>
        </w:rPr>
        <w:t>,</w:t>
      </w:r>
      <w:r w:rsidR="0008425D">
        <w:rPr>
          <w:rFonts w:asciiTheme="majorHAnsi" w:hAnsiTheme="majorHAnsi"/>
        </w:rPr>
        <w:t xml:space="preserve"> </w:t>
      </w:r>
      <w:r w:rsidR="00F11376">
        <w:rPr>
          <w:rFonts w:asciiTheme="majorHAnsi" w:hAnsiTheme="majorHAnsi"/>
        </w:rPr>
        <w:t xml:space="preserve">only 61% of respondents </w:t>
      </w:r>
      <w:r>
        <w:rPr>
          <w:rFonts w:asciiTheme="majorHAnsi" w:hAnsiTheme="majorHAnsi"/>
        </w:rPr>
        <w:t xml:space="preserve">answered that </w:t>
      </w:r>
      <w:r w:rsidR="00F11376">
        <w:rPr>
          <w:rFonts w:asciiTheme="majorHAnsi" w:hAnsiTheme="majorHAnsi"/>
        </w:rPr>
        <w:t xml:space="preserve">they filter their water </w:t>
      </w:r>
      <w:r w:rsidR="00E37452">
        <w:rPr>
          <w:rFonts w:asciiTheme="majorHAnsi" w:hAnsiTheme="majorHAnsi"/>
        </w:rPr>
        <w:t xml:space="preserve">with either a muslin cloth </w:t>
      </w:r>
      <w:r w:rsidR="0008425D">
        <w:rPr>
          <w:rFonts w:asciiTheme="majorHAnsi" w:hAnsiTheme="majorHAnsi"/>
        </w:rPr>
        <w:t xml:space="preserve">or </w:t>
      </w:r>
      <w:r w:rsidR="00E37452">
        <w:rPr>
          <w:rFonts w:asciiTheme="majorHAnsi" w:hAnsiTheme="majorHAnsi"/>
        </w:rPr>
        <w:t>a ceramic water filter</w:t>
      </w:r>
      <w:r w:rsidR="0008425D">
        <w:rPr>
          <w:rFonts w:asciiTheme="majorHAnsi" w:hAnsiTheme="majorHAnsi"/>
        </w:rPr>
        <w:t>. However, further questioning which specifically asked about the two t</w:t>
      </w:r>
      <w:r>
        <w:rPr>
          <w:rFonts w:asciiTheme="majorHAnsi" w:hAnsiTheme="majorHAnsi"/>
        </w:rPr>
        <w:t>ypes of filters revealed that 94</w:t>
      </w:r>
      <w:r w:rsidR="0008425D">
        <w:rPr>
          <w:rFonts w:asciiTheme="majorHAnsi" w:hAnsiTheme="majorHAnsi"/>
        </w:rPr>
        <w:t>% of respondents use these methods</w:t>
      </w:r>
      <w:r>
        <w:rPr>
          <w:rFonts w:asciiTheme="majorHAnsi" w:hAnsiTheme="majorHAnsi"/>
        </w:rPr>
        <w:t xml:space="preserve"> with 56% claiming to use a ceramic filter and 38% a traditional cloth</w:t>
      </w:r>
      <w:r w:rsidR="0008425D">
        <w:rPr>
          <w:rFonts w:asciiTheme="majorHAnsi" w:hAnsiTheme="majorHAnsi"/>
        </w:rPr>
        <w:t xml:space="preserve">. The difference in the two answers illustrates that </w:t>
      </w:r>
      <w:r>
        <w:rPr>
          <w:rFonts w:asciiTheme="majorHAnsi" w:hAnsiTheme="majorHAnsi"/>
        </w:rPr>
        <w:t xml:space="preserve">a third </w:t>
      </w:r>
      <w:r w:rsidR="0008425D">
        <w:rPr>
          <w:rFonts w:asciiTheme="majorHAnsi" w:hAnsiTheme="majorHAnsi"/>
        </w:rPr>
        <w:t>of respondents do not associate filtr</w:t>
      </w:r>
      <w:r>
        <w:rPr>
          <w:rFonts w:asciiTheme="majorHAnsi" w:hAnsiTheme="majorHAnsi"/>
        </w:rPr>
        <w:t>ation with making water ‘safe’.</w:t>
      </w:r>
      <w:r w:rsidR="0008425D">
        <w:rPr>
          <w:rFonts w:asciiTheme="majorHAnsi" w:hAnsiTheme="majorHAnsi"/>
        </w:rPr>
        <w:t xml:space="preserve"> This </w:t>
      </w:r>
      <w:r>
        <w:rPr>
          <w:rFonts w:asciiTheme="majorHAnsi" w:hAnsiTheme="majorHAnsi"/>
        </w:rPr>
        <w:t xml:space="preserve">confirm findings </w:t>
      </w:r>
      <w:r w:rsidR="0008425D">
        <w:rPr>
          <w:rFonts w:asciiTheme="majorHAnsi" w:hAnsiTheme="majorHAnsi"/>
        </w:rPr>
        <w:t xml:space="preserve">from a water quality survey conducted by CDN in Sittwe Township in January 2014 where during informal interviews, beneficiaries said they use the filters because they were told to do so by WASH agencies </w:t>
      </w:r>
      <w:r>
        <w:rPr>
          <w:rFonts w:asciiTheme="majorHAnsi" w:hAnsiTheme="majorHAnsi"/>
        </w:rPr>
        <w:t xml:space="preserve">without being aware of the reason for </w:t>
      </w:r>
      <w:r w:rsidR="0008425D">
        <w:rPr>
          <w:rFonts w:asciiTheme="majorHAnsi" w:hAnsiTheme="majorHAnsi"/>
        </w:rPr>
        <w:t xml:space="preserve">using them. </w:t>
      </w:r>
    </w:p>
    <w:p w14:paraId="375EAAF9" w14:textId="50DD93BE" w:rsidR="00081F1E" w:rsidRDefault="00794A49" w:rsidP="00234AEC">
      <w:pPr>
        <w:spacing w:after="120"/>
        <w:jc w:val="both"/>
        <w:rPr>
          <w:rFonts w:asciiTheme="majorHAnsi" w:hAnsiTheme="majorHAnsi"/>
        </w:rPr>
      </w:pPr>
      <w:r>
        <w:rPr>
          <w:rFonts w:asciiTheme="majorHAnsi" w:hAnsiTheme="majorHAnsi"/>
        </w:rPr>
        <w:t xml:space="preserve">In addition to filtration, </w:t>
      </w:r>
      <w:r w:rsidR="00E37452">
        <w:rPr>
          <w:rFonts w:asciiTheme="majorHAnsi" w:hAnsiTheme="majorHAnsi"/>
        </w:rPr>
        <w:t>one in six households also reported the importance of keeping the drinking water container clean and covered</w:t>
      </w:r>
      <w:proofErr w:type="gramStart"/>
      <w:r w:rsidR="00E37452">
        <w:rPr>
          <w:rFonts w:asciiTheme="majorHAnsi" w:hAnsiTheme="majorHAnsi"/>
        </w:rPr>
        <w:t>;</w:t>
      </w:r>
      <w:proofErr w:type="gramEnd"/>
      <w:r w:rsidR="00E37452">
        <w:rPr>
          <w:rFonts w:asciiTheme="majorHAnsi" w:hAnsiTheme="majorHAnsi"/>
        </w:rPr>
        <w:t xml:space="preserve"> 15% and 16% respectively.</w:t>
      </w:r>
    </w:p>
    <w:p w14:paraId="7872D8C2" w14:textId="2E75B913" w:rsidR="0040740D" w:rsidRDefault="00081F1E" w:rsidP="00234AEC">
      <w:pPr>
        <w:spacing w:after="120"/>
        <w:jc w:val="both"/>
        <w:rPr>
          <w:rFonts w:asciiTheme="majorHAnsi" w:hAnsiTheme="majorHAnsi"/>
        </w:rPr>
      </w:pPr>
      <w:r>
        <w:rPr>
          <w:noProof/>
          <w:lang w:val="en-US"/>
        </w:rPr>
        <w:drawing>
          <wp:anchor distT="0" distB="0" distL="114300" distR="114300" simplePos="0" relativeHeight="251708416" behindDoc="0" locked="0" layoutInCell="1" allowOverlap="1" wp14:anchorId="47296D68" wp14:editId="62045E24">
            <wp:simplePos x="0" y="0"/>
            <wp:positionH relativeFrom="column">
              <wp:posOffset>2743200</wp:posOffset>
            </wp:positionH>
            <wp:positionV relativeFrom="paragraph">
              <wp:posOffset>88899</wp:posOffset>
            </wp:positionV>
            <wp:extent cx="3195320" cy="2258695"/>
            <wp:effectExtent l="0" t="0" r="5080" b="1905"/>
            <wp:wrapNone/>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Pr>
          <w:rFonts w:asciiTheme="majorHAnsi" w:hAnsiTheme="majorHAnsi"/>
        </w:rPr>
        <w:t xml:space="preserve">     </w:t>
      </w:r>
      <w:r w:rsidR="00B41627">
        <w:rPr>
          <w:noProof/>
          <w:lang w:val="en-US"/>
        </w:rPr>
        <w:drawing>
          <wp:inline distT="0" distB="0" distL="0" distR="0" wp14:anchorId="09A55624" wp14:editId="0B1DC322">
            <wp:extent cx="2334260" cy="2349500"/>
            <wp:effectExtent l="0" t="0" r="254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8F2843C" w14:textId="77777777" w:rsidR="0040740D" w:rsidRDefault="0040740D" w:rsidP="00234AEC">
      <w:pPr>
        <w:spacing w:after="120"/>
        <w:jc w:val="both"/>
        <w:rPr>
          <w:rFonts w:asciiTheme="majorHAnsi" w:hAnsiTheme="majorHAnsi"/>
        </w:rPr>
      </w:pPr>
    </w:p>
    <w:p w14:paraId="173FB3CD" w14:textId="6EFF958F" w:rsidR="0040740D" w:rsidRPr="006F2BF8" w:rsidRDefault="008A5F07" w:rsidP="00234AEC">
      <w:pPr>
        <w:spacing w:after="120"/>
        <w:jc w:val="both"/>
        <w:rPr>
          <w:rFonts w:asciiTheme="majorHAnsi" w:hAnsiTheme="majorHAnsi"/>
        </w:rPr>
      </w:pPr>
      <w:r>
        <w:rPr>
          <w:rFonts w:asciiTheme="majorHAnsi" w:hAnsiTheme="majorHAnsi"/>
        </w:rPr>
        <w:t>Respondents reported significant changes in household water treatment (HWT) behaviour when compared to b</w:t>
      </w:r>
      <w:r w:rsidR="00D3308E">
        <w:rPr>
          <w:rFonts w:asciiTheme="majorHAnsi" w:hAnsiTheme="majorHAnsi"/>
        </w:rPr>
        <w:t>efore the 2012 conflict with 80%</w:t>
      </w:r>
      <w:r>
        <w:rPr>
          <w:rFonts w:asciiTheme="majorHAnsi" w:hAnsiTheme="majorHAnsi"/>
        </w:rPr>
        <w:t xml:space="preserve"> of respondents in IDP camps and 52% in villages reporting behaviour changes. 42% of respondents attributed these changes to the work of WASH agencies while 22% reported that the changes were a result of the efforts of community hygiene promoters through home visits. </w:t>
      </w:r>
      <w:r w:rsidR="006F2BF8">
        <w:rPr>
          <w:rFonts w:asciiTheme="majorHAnsi" w:hAnsiTheme="majorHAnsi"/>
        </w:rPr>
        <w:t xml:space="preserve">Very few respondents attributed the changes to either </w:t>
      </w:r>
      <w:proofErr w:type="gramStart"/>
      <w:r w:rsidR="006F2BF8">
        <w:rPr>
          <w:rFonts w:asciiTheme="majorHAnsi" w:hAnsiTheme="majorHAnsi"/>
        </w:rPr>
        <w:t>efforts</w:t>
      </w:r>
      <w:proofErr w:type="gramEnd"/>
      <w:r w:rsidR="006F2BF8">
        <w:rPr>
          <w:rFonts w:asciiTheme="majorHAnsi" w:hAnsiTheme="majorHAnsi"/>
        </w:rPr>
        <w:t xml:space="preserve"> by Government health staff or from radio or TV messages. </w:t>
      </w:r>
    </w:p>
    <w:p w14:paraId="7A4D311D" w14:textId="79FA58F5" w:rsidR="00DF7DF8" w:rsidRDefault="00DF7DF8" w:rsidP="00254C55">
      <w:pPr>
        <w:spacing w:after="120"/>
        <w:rPr>
          <w:sz w:val="20"/>
          <w:szCs w:val="20"/>
        </w:rPr>
      </w:pPr>
    </w:p>
    <w:p w14:paraId="7E621CD1" w14:textId="1433AFE2" w:rsidR="00DF7DF8" w:rsidRDefault="00794A49" w:rsidP="00254C55">
      <w:pPr>
        <w:spacing w:after="120"/>
        <w:rPr>
          <w:sz w:val="20"/>
          <w:szCs w:val="20"/>
        </w:rPr>
      </w:pPr>
      <w:r>
        <w:rPr>
          <w:noProof/>
          <w:lang w:val="en-US"/>
        </w:rPr>
        <w:drawing>
          <wp:anchor distT="0" distB="0" distL="114300" distR="114300" simplePos="0" relativeHeight="251709440" behindDoc="0" locked="0" layoutInCell="1" allowOverlap="1" wp14:anchorId="72689CB2" wp14:editId="1A871B7E">
            <wp:simplePos x="0" y="0"/>
            <wp:positionH relativeFrom="column">
              <wp:posOffset>2971800</wp:posOffset>
            </wp:positionH>
            <wp:positionV relativeFrom="paragraph">
              <wp:posOffset>29210</wp:posOffset>
            </wp:positionV>
            <wp:extent cx="3294380" cy="2872740"/>
            <wp:effectExtent l="0" t="0" r="7620" b="0"/>
            <wp:wrapNone/>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FE1578">
        <w:rPr>
          <w:noProof/>
          <w:lang w:val="en-US"/>
        </w:rPr>
        <w:drawing>
          <wp:inline distT="0" distB="0" distL="0" distR="0" wp14:anchorId="65008F08" wp14:editId="2894E02B">
            <wp:extent cx="2966720" cy="2743200"/>
            <wp:effectExtent l="0" t="0" r="508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4818603" w14:textId="77777777" w:rsidR="00DF7DF8" w:rsidRPr="00254C55" w:rsidRDefault="00DF7DF8" w:rsidP="00254C55">
      <w:pPr>
        <w:spacing w:after="120"/>
        <w:rPr>
          <w:sz w:val="20"/>
          <w:szCs w:val="20"/>
        </w:rPr>
      </w:pPr>
    </w:p>
    <w:p w14:paraId="54EAB6E2" w14:textId="359FC55A" w:rsidR="00254C55" w:rsidRPr="00E64758" w:rsidRDefault="00254C55" w:rsidP="00254C55">
      <w:pPr>
        <w:pStyle w:val="Heading2"/>
        <w:spacing w:after="120"/>
        <w:rPr>
          <w:color w:val="548DD4" w:themeColor="text2" w:themeTint="99"/>
          <w:sz w:val="24"/>
          <w:szCs w:val="24"/>
        </w:rPr>
      </w:pPr>
      <w:bookmarkStart w:id="40" w:name="_Toc292703951"/>
      <w:bookmarkStart w:id="41" w:name="_Toc292704169"/>
      <w:bookmarkStart w:id="42" w:name="_Toc294273147"/>
      <w:r w:rsidRPr="00E64758">
        <w:rPr>
          <w:color w:val="548DD4" w:themeColor="text2" w:themeTint="99"/>
          <w:sz w:val="24"/>
          <w:szCs w:val="24"/>
        </w:rPr>
        <w:t>CERAMIC WATER FILTERS</w:t>
      </w:r>
      <w:bookmarkEnd w:id="40"/>
      <w:bookmarkEnd w:id="41"/>
      <w:bookmarkEnd w:id="42"/>
      <w:r w:rsidRPr="00E64758">
        <w:rPr>
          <w:color w:val="548DD4" w:themeColor="text2" w:themeTint="99"/>
          <w:sz w:val="24"/>
          <w:szCs w:val="24"/>
        </w:rPr>
        <w:t xml:space="preserve"> </w:t>
      </w:r>
    </w:p>
    <w:p w14:paraId="386C535E" w14:textId="362EA6C2" w:rsidR="00254C55" w:rsidRPr="00855099" w:rsidRDefault="008A01FB" w:rsidP="008A01FB">
      <w:pPr>
        <w:spacing w:after="120"/>
        <w:jc w:val="both"/>
        <w:rPr>
          <w:rFonts w:asciiTheme="majorHAnsi" w:hAnsiTheme="majorHAnsi"/>
        </w:rPr>
      </w:pPr>
      <w:r>
        <w:rPr>
          <w:noProof/>
          <w:lang w:val="en-US"/>
        </w:rPr>
        <w:drawing>
          <wp:anchor distT="0" distB="0" distL="114300" distR="114300" simplePos="0" relativeHeight="251698176" behindDoc="0" locked="0" layoutInCell="1" allowOverlap="1" wp14:anchorId="5918AECD" wp14:editId="36C02F01">
            <wp:simplePos x="0" y="0"/>
            <wp:positionH relativeFrom="column">
              <wp:posOffset>3314700</wp:posOffset>
            </wp:positionH>
            <wp:positionV relativeFrom="paragraph">
              <wp:posOffset>1734820</wp:posOffset>
            </wp:positionV>
            <wp:extent cx="3014980" cy="2266315"/>
            <wp:effectExtent l="0" t="0" r="7620" b="0"/>
            <wp:wrapNone/>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855099" w:rsidRPr="00855099">
        <w:rPr>
          <w:rFonts w:asciiTheme="majorHAnsi" w:hAnsiTheme="majorHAnsi"/>
        </w:rPr>
        <w:t>Throughout the</w:t>
      </w:r>
      <w:r w:rsidR="00855099">
        <w:rPr>
          <w:rFonts w:asciiTheme="majorHAnsi" w:hAnsiTheme="majorHAnsi"/>
        </w:rPr>
        <w:t xml:space="preserve"> emergency response, the WASH Cluster in Rakhine State has actively promoted the use of household water treatment (HWT) through ceramic water filters (CWF). In the near future, the Cluster will soon conduct an independent assessment of the effectiveness and usage of ceramic water filters. However, this KAP survey revealed usage to be reasonably high with 58% of respondents claiming to use the filters. Observations </w:t>
      </w:r>
      <w:r>
        <w:rPr>
          <w:rFonts w:asciiTheme="majorHAnsi" w:hAnsiTheme="majorHAnsi"/>
        </w:rPr>
        <w:t xml:space="preserve">conducted by a household sanitary survey confirmed usage to be high with </w:t>
      </w:r>
      <w:r w:rsidR="00855099">
        <w:rPr>
          <w:rFonts w:asciiTheme="majorHAnsi" w:hAnsiTheme="majorHAnsi"/>
        </w:rPr>
        <w:t>50% of respondent households</w:t>
      </w:r>
      <w:r>
        <w:rPr>
          <w:rFonts w:asciiTheme="majorHAnsi" w:hAnsiTheme="majorHAnsi"/>
        </w:rPr>
        <w:t xml:space="preserve"> using their filters on the day of the survey</w:t>
      </w:r>
      <w:r w:rsidR="00855099">
        <w:rPr>
          <w:rFonts w:asciiTheme="majorHAnsi" w:hAnsiTheme="majorHAnsi"/>
        </w:rPr>
        <w:t xml:space="preserve">. </w:t>
      </w:r>
      <w:r>
        <w:rPr>
          <w:rFonts w:asciiTheme="majorHAnsi" w:hAnsiTheme="majorHAnsi"/>
        </w:rPr>
        <w:t>Usage was significantly higher in the IDP camps with 70% claiming to use a filter and 61% using it on the day of the survey whereas in the villages usage was a lot lower with 45% claiming to use them and 37% observed.</w:t>
      </w:r>
      <w:r w:rsidR="00855099">
        <w:rPr>
          <w:rFonts w:asciiTheme="majorHAnsi" w:hAnsiTheme="majorHAnsi"/>
        </w:rPr>
        <w:t xml:space="preserve"> </w:t>
      </w:r>
      <w:r w:rsidR="00855099" w:rsidRPr="00855099">
        <w:rPr>
          <w:rFonts w:asciiTheme="majorHAnsi" w:hAnsiTheme="majorHAnsi"/>
        </w:rPr>
        <w:t xml:space="preserve"> </w:t>
      </w:r>
    </w:p>
    <w:p w14:paraId="52A0968A" w14:textId="1C43902D" w:rsidR="00654AE6" w:rsidRDefault="00654AE6" w:rsidP="00254C55">
      <w:pPr>
        <w:spacing w:after="120"/>
        <w:rPr>
          <w:sz w:val="20"/>
          <w:szCs w:val="20"/>
        </w:rPr>
      </w:pPr>
      <w:r>
        <w:rPr>
          <w:noProof/>
          <w:lang w:val="en-US"/>
        </w:rPr>
        <w:drawing>
          <wp:inline distT="0" distB="0" distL="0" distR="0" wp14:anchorId="1DFB295F" wp14:editId="01FE947C">
            <wp:extent cx="2966720" cy="2004060"/>
            <wp:effectExtent l="0" t="0" r="5080" b="254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5BC109C" w14:textId="77777777" w:rsidR="00654AE6" w:rsidRDefault="00654AE6" w:rsidP="00254C55">
      <w:pPr>
        <w:spacing w:after="120"/>
        <w:rPr>
          <w:sz w:val="20"/>
          <w:szCs w:val="20"/>
        </w:rPr>
      </w:pPr>
    </w:p>
    <w:p w14:paraId="10A8A500" w14:textId="1350F70B" w:rsidR="00855099" w:rsidRPr="00657F53" w:rsidRDefault="008A01FB" w:rsidP="00657F53">
      <w:pPr>
        <w:spacing w:after="120"/>
        <w:jc w:val="both"/>
        <w:rPr>
          <w:rFonts w:asciiTheme="majorHAnsi" w:hAnsiTheme="majorHAnsi"/>
        </w:rPr>
      </w:pPr>
      <w:r w:rsidRPr="008A01FB">
        <w:rPr>
          <w:rFonts w:asciiTheme="majorHAnsi" w:hAnsiTheme="majorHAnsi"/>
        </w:rPr>
        <w:t>When questioned about the things respondents liked about their filters, the two most popular response</w:t>
      </w:r>
      <w:r>
        <w:rPr>
          <w:rFonts w:asciiTheme="majorHAnsi" w:hAnsiTheme="majorHAnsi"/>
        </w:rPr>
        <w:t>s</w:t>
      </w:r>
      <w:r w:rsidRPr="008A01FB">
        <w:rPr>
          <w:rFonts w:asciiTheme="majorHAnsi" w:hAnsiTheme="majorHAnsi"/>
        </w:rPr>
        <w:t xml:space="preserve"> were that</w:t>
      </w:r>
      <w:r>
        <w:rPr>
          <w:rFonts w:asciiTheme="majorHAnsi" w:hAnsiTheme="majorHAnsi"/>
        </w:rPr>
        <w:t xml:space="preserve"> they are good for the health of their family (31%) and that they</w:t>
      </w:r>
      <w:r w:rsidRPr="008A01FB">
        <w:rPr>
          <w:rFonts w:asciiTheme="majorHAnsi" w:hAnsiTheme="majorHAnsi"/>
        </w:rPr>
        <w:t xml:space="preserve"> </w:t>
      </w:r>
      <w:r>
        <w:rPr>
          <w:rFonts w:asciiTheme="majorHAnsi" w:hAnsiTheme="majorHAnsi"/>
        </w:rPr>
        <w:t>provide safe clean water. Given th</w:t>
      </w:r>
      <w:r w:rsidR="00657F53">
        <w:rPr>
          <w:rFonts w:asciiTheme="majorHAnsi" w:hAnsiTheme="majorHAnsi"/>
        </w:rPr>
        <w:t>at the technology has limitations and that other stu</w:t>
      </w:r>
      <w:r w:rsidR="00D3308E">
        <w:rPr>
          <w:rFonts w:asciiTheme="majorHAnsi" w:hAnsiTheme="majorHAnsi"/>
        </w:rPr>
        <w:t>dies such as the Water Quality A</w:t>
      </w:r>
      <w:r w:rsidR="00657F53">
        <w:rPr>
          <w:rFonts w:asciiTheme="majorHAnsi" w:hAnsiTheme="majorHAnsi"/>
        </w:rPr>
        <w:t>ssessment in Sittwe Township conducted in January 2014 revealed a series of complaints from users regarding the slow filtration time and the burden of refilling filters, i</w:t>
      </w:r>
      <w:r>
        <w:rPr>
          <w:rFonts w:asciiTheme="majorHAnsi" w:hAnsiTheme="majorHAnsi"/>
        </w:rPr>
        <w:t>t was surprising that no</w:t>
      </w:r>
      <w:r w:rsidR="00657F53">
        <w:rPr>
          <w:rFonts w:asciiTheme="majorHAnsi" w:hAnsiTheme="majorHAnsi"/>
        </w:rPr>
        <w:t>ne of the</w:t>
      </w:r>
      <w:r>
        <w:rPr>
          <w:rFonts w:asciiTheme="majorHAnsi" w:hAnsiTheme="majorHAnsi"/>
        </w:rPr>
        <w:t xml:space="preserve"> respondents reported </w:t>
      </w:r>
      <w:r w:rsidR="00657F53">
        <w:rPr>
          <w:rFonts w:asciiTheme="majorHAnsi" w:hAnsiTheme="majorHAnsi"/>
        </w:rPr>
        <w:t>anything negative about the ceramic water filters. Hopefully, the upcoming WASH Cluster study will be able to learn more about this issue.</w:t>
      </w:r>
    </w:p>
    <w:p w14:paraId="4AD620C4" w14:textId="77777777" w:rsidR="00654AE6" w:rsidRDefault="00654AE6" w:rsidP="00254C55">
      <w:pPr>
        <w:spacing w:after="120"/>
        <w:rPr>
          <w:sz w:val="12"/>
          <w:szCs w:val="12"/>
        </w:rPr>
      </w:pPr>
    </w:p>
    <w:p w14:paraId="0DD718D5" w14:textId="79FBD7D2" w:rsidR="009628B9" w:rsidRDefault="009628B9" w:rsidP="00254C55">
      <w:pPr>
        <w:spacing w:after="120"/>
        <w:rPr>
          <w:sz w:val="12"/>
          <w:szCs w:val="12"/>
        </w:rPr>
      </w:pPr>
      <w:r>
        <w:rPr>
          <w:noProof/>
          <w:lang w:val="en-US"/>
        </w:rPr>
        <w:drawing>
          <wp:anchor distT="0" distB="0" distL="114300" distR="114300" simplePos="0" relativeHeight="251710464" behindDoc="1" locked="0" layoutInCell="1" allowOverlap="1" wp14:anchorId="1204DD8F" wp14:editId="42335DCE">
            <wp:simplePos x="0" y="0"/>
            <wp:positionH relativeFrom="column">
              <wp:posOffset>3543300</wp:posOffset>
            </wp:positionH>
            <wp:positionV relativeFrom="paragraph">
              <wp:posOffset>3175</wp:posOffset>
            </wp:positionV>
            <wp:extent cx="2827020" cy="2743200"/>
            <wp:effectExtent l="0" t="0" r="0" b="0"/>
            <wp:wrapNone/>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Pr>
          <w:noProof/>
          <w:lang w:val="en-US"/>
        </w:rPr>
        <w:drawing>
          <wp:inline distT="0" distB="0" distL="0" distR="0" wp14:anchorId="1CED72CD" wp14:editId="68AC7FD9">
            <wp:extent cx="3611880" cy="2743200"/>
            <wp:effectExtent l="0" t="0" r="0" b="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9628B9">
        <w:rPr>
          <w:noProof/>
          <w:lang w:val="en-US"/>
        </w:rPr>
        <w:t xml:space="preserve"> </w:t>
      </w:r>
    </w:p>
    <w:p w14:paraId="32123D3C" w14:textId="77777777" w:rsidR="00657F53" w:rsidRPr="006F018A" w:rsidRDefault="00657F53" w:rsidP="00254C55">
      <w:pPr>
        <w:spacing w:after="120"/>
        <w:rPr>
          <w:sz w:val="6"/>
          <w:szCs w:val="6"/>
        </w:rPr>
      </w:pPr>
    </w:p>
    <w:p w14:paraId="51BEC628" w14:textId="1896E25B" w:rsidR="00654AE6" w:rsidRPr="00657F53" w:rsidRDefault="006F018A" w:rsidP="006F018A">
      <w:pPr>
        <w:spacing w:after="120"/>
        <w:jc w:val="both"/>
        <w:rPr>
          <w:rFonts w:asciiTheme="majorHAnsi" w:hAnsiTheme="majorHAnsi"/>
        </w:rPr>
      </w:pPr>
      <w:r>
        <w:rPr>
          <w:noProof/>
          <w:lang w:val="en-US"/>
        </w:rPr>
        <w:drawing>
          <wp:anchor distT="0" distB="0" distL="114300" distR="114300" simplePos="0" relativeHeight="251699200" behindDoc="0" locked="0" layoutInCell="1" allowOverlap="1" wp14:anchorId="0518878B" wp14:editId="1E183558">
            <wp:simplePos x="0" y="0"/>
            <wp:positionH relativeFrom="column">
              <wp:posOffset>2971800</wp:posOffset>
            </wp:positionH>
            <wp:positionV relativeFrom="paragraph">
              <wp:posOffset>1293495</wp:posOffset>
            </wp:positionV>
            <wp:extent cx="3124200" cy="2171700"/>
            <wp:effectExtent l="0" t="0" r="0" b="0"/>
            <wp:wrapNone/>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657F53" w:rsidRPr="00657F53">
        <w:rPr>
          <w:rFonts w:asciiTheme="majorHAnsi" w:hAnsiTheme="majorHAnsi"/>
        </w:rPr>
        <w:t>The hemispherical shape of the ceramic water filters</w:t>
      </w:r>
      <w:r w:rsidR="00657F53">
        <w:rPr>
          <w:rFonts w:asciiTheme="majorHAnsi" w:hAnsiTheme="majorHAnsi"/>
        </w:rPr>
        <w:t xml:space="preserve"> means that the flow rate reduces over time. A study conducted for </w:t>
      </w:r>
      <w:proofErr w:type="spellStart"/>
      <w:r w:rsidR="00657F53">
        <w:rPr>
          <w:rFonts w:asciiTheme="majorHAnsi" w:hAnsiTheme="majorHAnsi"/>
        </w:rPr>
        <w:t>Unicef</w:t>
      </w:r>
      <w:proofErr w:type="spellEnd"/>
      <w:r w:rsidR="00657F53">
        <w:rPr>
          <w:rFonts w:asciiTheme="majorHAnsi" w:hAnsiTheme="majorHAnsi"/>
        </w:rPr>
        <w:t xml:space="preserve"> in 2009</w:t>
      </w:r>
      <w:r>
        <w:rPr>
          <w:rStyle w:val="FootnoteReference"/>
          <w:rFonts w:asciiTheme="majorHAnsi" w:hAnsiTheme="majorHAnsi"/>
        </w:rPr>
        <w:footnoteReference w:id="7"/>
      </w:r>
      <w:r w:rsidR="00657F53">
        <w:rPr>
          <w:rFonts w:asciiTheme="majorHAnsi" w:hAnsiTheme="majorHAnsi"/>
        </w:rPr>
        <w:t xml:space="preserve"> revealed that for a full filter bowl, the second hour flow rate is 54% of the first hour and the third hour</w:t>
      </w:r>
      <w:r>
        <w:rPr>
          <w:rFonts w:asciiTheme="majorHAnsi" w:hAnsiTheme="majorHAnsi"/>
        </w:rPr>
        <w:t>,</w:t>
      </w:r>
      <w:r w:rsidR="00657F53">
        <w:rPr>
          <w:rFonts w:asciiTheme="majorHAnsi" w:hAnsiTheme="majorHAnsi"/>
        </w:rPr>
        <w:t xml:space="preserve"> 38%. This i</w:t>
      </w:r>
      <w:r>
        <w:rPr>
          <w:rFonts w:asciiTheme="majorHAnsi" w:hAnsiTheme="majorHAnsi"/>
        </w:rPr>
        <w:t xml:space="preserve">mplies that for an average family, filters need to be regularly refilled in order to produce sufficient safe water for all household needs. The study concluded that the filter needs to be filled a minimum of 3 times a day; once at night, first thing in the morning and then 2 or 3 hours later in order to cover the drinking water needs of a 5-member family. </w:t>
      </w:r>
    </w:p>
    <w:p w14:paraId="296528AB" w14:textId="27BCFF32" w:rsidR="002505F1" w:rsidRDefault="009D52E6" w:rsidP="00254C55">
      <w:pPr>
        <w:spacing w:after="120"/>
        <w:rPr>
          <w:sz w:val="20"/>
          <w:szCs w:val="20"/>
        </w:rPr>
      </w:pPr>
      <w:r>
        <w:rPr>
          <w:noProof/>
          <w:lang w:val="en-US"/>
        </w:rPr>
        <w:drawing>
          <wp:inline distT="0" distB="0" distL="0" distR="0" wp14:anchorId="30DBDCAD" wp14:editId="5B8BA718">
            <wp:extent cx="2738120" cy="2301240"/>
            <wp:effectExtent l="0" t="0" r="5080" b="1016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8D5F35A" w14:textId="77777777" w:rsidR="002505F1" w:rsidRDefault="002505F1" w:rsidP="00254C55">
      <w:pPr>
        <w:spacing w:after="120"/>
        <w:rPr>
          <w:sz w:val="20"/>
          <w:szCs w:val="20"/>
        </w:rPr>
      </w:pPr>
    </w:p>
    <w:p w14:paraId="4BC08173" w14:textId="467ED463" w:rsidR="005C65FA" w:rsidRDefault="009B4B3E" w:rsidP="009B4B3E">
      <w:pPr>
        <w:spacing w:after="120"/>
        <w:jc w:val="both"/>
        <w:rPr>
          <w:rFonts w:asciiTheme="majorHAnsi" w:hAnsiTheme="majorHAnsi"/>
        </w:rPr>
      </w:pPr>
      <w:r w:rsidRPr="009B4B3E">
        <w:rPr>
          <w:rFonts w:asciiTheme="majorHAnsi" w:hAnsiTheme="majorHAnsi"/>
        </w:rPr>
        <w:t>A total of 85% of respondents using cera</w:t>
      </w:r>
      <w:r>
        <w:rPr>
          <w:rFonts w:asciiTheme="majorHAnsi" w:hAnsiTheme="majorHAnsi"/>
        </w:rPr>
        <w:t>mic water filter</w:t>
      </w:r>
      <w:r w:rsidR="009E00A7">
        <w:rPr>
          <w:rFonts w:asciiTheme="majorHAnsi" w:hAnsiTheme="majorHAnsi"/>
        </w:rPr>
        <w:t>s</w:t>
      </w:r>
      <w:r>
        <w:rPr>
          <w:rFonts w:asciiTheme="majorHAnsi" w:hAnsiTheme="majorHAnsi"/>
        </w:rPr>
        <w:t xml:space="preserve"> reported that </w:t>
      </w:r>
      <w:r w:rsidRPr="009B4B3E">
        <w:rPr>
          <w:rFonts w:asciiTheme="majorHAnsi" w:hAnsiTheme="majorHAnsi"/>
        </w:rPr>
        <w:t>t</w:t>
      </w:r>
      <w:r>
        <w:rPr>
          <w:rFonts w:asciiTheme="majorHAnsi" w:hAnsiTheme="majorHAnsi"/>
        </w:rPr>
        <w:t>he filter</w:t>
      </w:r>
      <w:r w:rsidRPr="009B4B3E">
        <w:rPr>
          <w:rFonts w:asciiTheme="majorHAnsi" w:hAnsiTheme="majorHAnsi"/>
        </w:rPr>
        <w:t xml:space="preserve"> produces sufficient </w:t>
      </w:r>
      <w:r>
        <w:rPr>
          <w:rFonts w:asciiTheme="majorHAnsi" w:hAnsiTheme="majorHAnsi"/>
        </w:rPr>
        <w:t xml:space="preserve">‘safe’ </w:t>
      </w:r>
      <w:r w:rsidRPr="009B4B3E">
        <w:rPr>
          <w:rFonts w:asciiTheme="majorHAnsi" w:hAnsiTheme="majorHAnsi"/>
        </w:rPr>
        <w:t>water to cover the needs of thei</w:t>
      </w:r>
      <w:r w:rsidR="00E8135C">
        <w:rPr>
          <w:rFonts w:asciiTheme="majorHAnsi" w:hAnsiTheme="majorHAnsi"/>
        </w:rPr>
        <w:t xml:space="preserve">r household with 88% </w:t>
      </w:r>
      <w:r w:rsidR="009E00A7">
        <w:rPr>
          <w:rFonts w:asciiTheme="majorHAnsi" w:hAnsiTheme="majorHAnsi"/>
        </w:rPr>
        <w:t xml:space="preserve">of </w:t>
      </w:r>
      <w:r w:rsidR="00E8135C">
        <w:rPr>
          <w:rFonts w:asciiTheme="majorHAnsi" w:hAnsiTheme="majorHAnsi"/>
        </w:rPr>
        <w:t xml:space="preserve">respondents claiming to refill their filter 2 or 3 times a day. </w:t>
      </w:r>
      <w:r w:rsidR="00F90FE3">
        <w:rPr>
          <w:rFonts w:asciiTheme="majorHAnsi" w:hAnsiTheme="majorHAnsi"/>
        </w:rPr>
        <w:t xml:space="preserve">With limited supply, filtered water is mainly used for drinking. However, in the IDP camps a third of CWF users also claim to use filtered water for cooking. </w:t>
      </w:r>
    </w:p>
    <w:p w14:paraId="52F4684A" w14:textId="5B829A9C" w:rsidR="009B4B3E" w:rsidRPr="009B4B3E" w:rsidRDefault="009B4B3E" w:rsidP="009B4B3E">
      <w:pPr>
        <w:spacing w:after="120"/>
        <w:jc w:val="both"/>
        <w:rPr>
          <w:rFonts w:asciiTheme="majorHAnsi" w:hAnsiTheme="majorHAnsi"/>
        </w:rPr>
      </w:pPr>
    </w:p>
    <w:p w14:paraId="70FD3340" w14:textId="3C723AD3" w:rsidR="007E4F69" w:rsidRDefault="009628B9" w:rsidP="00254C55">
      <w:pPr>
        <w:spacing w:after="120"/>
        <w:rPr>
          <w:sz w:val="20"/>
          <w:szCs w:val="20"/>
        </w:rPr>
      </w:pPr>
      <w:r>
        <w:rPr>
          <w:noProof/>
          <w:lang w:val="en-US"/>
        </w:rPr>
        <w:drawing>
          <wp:anchor distT="0" distB="0" distL="114300" distR="114300" simplePos="0" relativeHeight="251711488" behindDoc="0" locked="0" layoutInCell="1" allowOverlap="1" wp14:anchorId="7B38EEB8" wp14:editId="1CD669FB">
            <wp:simplePos x="0" y="0"/>
            <wp:positionH relativeFrom="column">
              <wp:posOffset>2857500</wp:posOffset>
            </wp:positionH>
            <wp:positionV relativeFrom="paragraph">
              <wp:posOffset>15875</wp:posOffset>
            </wp:positionV>
            <wp:extent cx="3538220" cy="2743200"/>
            <wp:effectExtent l="0" t="0" r="0" b="0"/>
            <wp:wrapNone/>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Pr>
          <w:noProof/>
          <w:lang w:val="en-US"/>
        </w:rPr>
        <w:drawing>
          <wp:inline distT="0" distB="0" distL="0" distR="0" wp14:anchorId="35A01CE4" wp14:editId="3CB1947B">
            <wp:extent cx="2966720" cy="2743200"/>
            <wp:effectExtent l="0" t="0" r="5080" b="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CA41E01" w14:textId="77777777" w:rsidR="007E4F69" w:rsidRDefault="007E4F69" w:rsidP="00254C55">
      <w:pPr>
        <w:spacing w:after="120"/>
        <w:rPr>
          <w:sz w:val="20"/>
          <w:szCs w:val="20"/>
        </w:rPr>
      </w:pPr>
    </w:p>
    <w:p w14:paraId="5F89C6DA" w14:textId="0F466CD2" w:rsidR="007F346B" w:rsidRDefault="00F90FE3" w:rsidP="00F6060F">
      <w:pPr>
        <w:spacing w:after="120"/>
        <w:jc w:val="both"/>
        <w:rPr>
          <w:rFonts w:asciiTheme="majorHAnsi" w:hAnsiTheme="majorHAnsi"/>
        </w:rPr>
      </w:pPr>
      <w:r w:rsidRPr="00F90FE3">
        <w:rPr>
          <w:rFonts w:asciiTheme="majorHAnsi" w:hAnsiTheme="majorHAnsi"/>
        </w:rPr>
        <w:t>Generally</w:t>
      </w:r>
      <w:r>
        <w:rPr>
          <w:rFonts w:asciiTheme="majorHAnsi" w:hAnsiTheme="majorHAnsi"/>
        </w:rPr>
        <w:t xml:space="preserve"> speaking</w:t>
      </w:r>
      <w:r w:rsidRPr="00F90FE3">
        <w:rPr>
          <w:rFonts w:asciiTheme="majorHAnsi" w:hAnsiTheme="majorHAnsi"/>
        </w:rPr>
        <w:t>, there appears to be a reasonable level of user satisfaction with ceramic water filters. However, as mentioned previously</w:t>
      </w:r>
      <w:r w:rsidR="007F346B">
        <w:rPr>
          <w:rFonts w:asciiTheme="majorHAnsi" w:hAnsiTheme="majorHAnsi"/>
        </w:rPr>
        <w:t>,</w:t>
      </w:r>
      <w:r w:rsidRPr="00F90FE3">
        <w:rPr>
          <w:rFonts w:asciiTheme="majorHAnsi" w:hAnsiTheme="majorHAnsi"/>
        </w:rPr>
        <w:t xml:space="preserve"> the </w:t>
      </w:r>
      <w:r w:rsidR="003715E2">
        <w:rPr>
          <w:rFonts w:asciiTheme="majorHAnsi" w:hAnsiTheme="majorHAnsi"/>
        </w:rPr>
        <w:t xml:space="preserve">proposed </w:t>
      </w:r>
      <w:r w:rsidRPr="00F90FE3">
        <w:rPr>
          <w:rFonts w:asciiTheme="majorHAnsi" w:hAnsiTheme="majorHAnsi"/>
        </w:rPr>
        <w:t xml:space="preserve">WASH Cluster assessment </w:t>
      </w:r>
      <w:r w:rsidR="003715E2">
        <w:rPr>
          <w:rFonts w:asciiTheme="majorHAnsi" w:hAnsiTheme="majorHAnsi"/>
        </w:rPr>
        <w:t xml:space="preserve">of ceramic water filters </w:t>
      </w:r>
      <w:r w:rsidR="00F6060F">
        <w:rPr>
          <w:rFonts w:asciiTheme="majorHAnsi" w:hAnsiTheme="majorHAnsi"/>
        </w:rPr>
        <w:t>will explore this issue in detail</w:t>
      </w:r>
      <w:r w:rsidR="003715E2">
        <w:rPr>
          <w:rFonts w:asciiTheme="majorHAnsi" w:hAnsiTheme="majorHAnsi"/>
        </w:rPr>
        <w:t xml:space="preserve"> during the 2015 rainy season</w:t>
      </w:r>
      <w:r w:rsidR="00F6060F">
        <w:rPr>
          <w:rFonts w:asciiTheme="majorHAnsi" w:hAnsiTheme="majorHAnsi"/>
        </w:rPr>
        <w:t>.</w:t>
      </w:r>
      <w:r w:rsidRPr="00F90FE3">
        <w:rPr>
          <w:rFonts w:asciiTheme="majorHAnsi" w:hAnsiTheme="majorHAnsi"/>
        </w:rPr>
        <w:t xml:space="preserve"> </w:t>
      </w:r>
    </w:p>
    <w:p w14:paraId="3416EAC2" w14:textId="77777777" w:rsidR="007F346B" w:rsidRDefault="007F346B" w:rsidP="00F6060F">
      <w:pPr>
        <w:spacing w:after="120"/>
        <w:jc w:val="both"/>
        <w:rPr>
          <w:rFonts w:asciiTheme="majorHAnsi" w:hAnsiTheme="majorHAnsi"/>
        </w:rPr>
      </w:pPr>
    </w:p>
    <w:p w14:paraId="764D0EE8" w14:textId="77777777" w:rsidR="00646630" w:rsidRDefault="00646630" w:rsidP="00F6060F">
      <w:pPr>
        <w:spacing w:after="120"/>
        <w:jc w:val="both"/>
        <w:rPr>
          <w:rFonts w:asciiTheme="majorHAnsi" w:hAnsiTheme="majorHAnsi"/>
        </w:rPr>
      </w:pPr>
    </w:p>
    <w:p w14:paraId="3AC23B30" w14:textId="49B7A04B" w:rsidR="00646630" w:rsidRDefault="00646630" w:rsidP="00F6060F">
      <w:pPr>
        <w:spacing w:after="120"/>
        <w:jc w:val="both"/>
        <w:rPr>
          <w:rFonts w:asciiTheme="majorHAnsi" w:hAnsiTheme="majorHAnsi"/>
        </w:rPr>
      </w:pPr>
      <w:r>
        <w:rPr>
          <w:noProof/>
          <w:lang w:val="en-US"/>
        </w:rPr>
        <w:drawing>
          <wp:anchor distT="0" distB="0" distL="114300" distR="114300" simplePos="0" relativeHeight="251712512" behindDoc="0" locked="0" layoutInCell="1" allowOverlap="1" wp14:anchorId="2514C55C" wp14:editId="29A69273">
            <wp:simplePos x="0" y="0"/>
            <wp:positionH relativeFrom="column">
              <wp:align>right</wp:align>
            </wp:positionH>
            <wp:positionV relativeFrom="paragraph">
              <wp:posOffset>0</wp:posOffset>
            </wp:positionV>
            <wp:extent cx="2738120" cy="2743200"/>
            <wp:effectExtent l="0" t="0" r="5080" b="0"/>
            <wp:wrapSquare wrapText="bothSides"/>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007F346B">
        <w:rPr>
          <w:rFonts w:asciiTheme="majorHAnsi" w:hAnsiTheme="majorHAnsi"/>
        </w:rPr>
        <w:t xml:space="preserve">Although </w:t>
      </w:r>
      <w:r w:rsidR="003715E2">
        <w:rPr>
          <w:rFonts w:asciiTheme="majorHAnsi" w:hAnsiTheme="majorHAnsi"/>
        </w:rPr>
        <w:t>the ceramic filter bowls are</w:t>
      </w:r>
      <w:r w:rsidR="007F346B">
        <w:rPr>
          <w:rFonts w:asciiTheme="majorHAnsi" w:hAnsiTheme="majorHAnsi"/>
        </w:rPr>
        <w:t xml:space="preserve"> currently </w:t>
      </w:r>
      <w:r w:rsidR="003715E2">
        <w:rPr>
          <w:rFonts w:asciiTheme="majorHAnsi" w:hAnsiTheme="majorHAnsi"/>
        </w:rPr>
        <w:t>un</w:t>
      </w:r>
      <w:r w:rsidR="007F346B">
        <w:rPr>
          <w:rFonts w:asciiTheme="majorHAnsi" w:hAnsiTheme="majorHAnsi"/>
        </w:rPr>
        <w:t xml:space="preserve">available in the markets of the target area, respondents were asked whether they would like to replace their filter bowl if it was broken. All 248 users replied that they would like to </w:t>
      </w:r>
      <w:r>
        <w:rPr>
          <w:rFonts w:asciiTheme="majorHAnsi" w:hAnsiTheme="majorHAnsi"/>
        </w:rPr>
        <w:t xml:space="preserve">do so </w:t>
      </w:r>
      <w:r w:rsidR="003715E2">
        <w:rPr>
          <w:rFonts w:asciiTheme="majorHAnsi" w:hAnsiTheme="majorHAnsi"/>
        </w:rPr>
        <w:t>and subsequently</w:t>
      </w:r>
      <w:r>
        <w:rPr>
          <w:rFonts w:asciiTheme="majorHAnsi" w:hAnsiTheme="majorHAnsi"/>
        </w:rPr>
        <w:t xml:space="preserve"> </w:t>
      </w:r>
      <w:r w:rsidR="003715E2">
        <w:rPr>
          <w:rFonts w:asciiTheme="majorHAnsi" w:hAnsiTheme="majorHAnsi"/>
        </w:rPr>
        <w:t xml:space="preserve">were asked what they would be willing to pay. As the question was hypothetical, there </w:t>
      </w:r>
      <w:r>
        <w:rPr>
          <w:rFonts w:asciiTheme="majorHAnsi" w:hAnsiTheme="majorHAnsi"/>
        </w:rPr>
        <w:t xml:space="preserve">was </w:t>
      </w:r>
      <w:r w:rsidR="003715E2">
        <w:rPr>
          <w:rFonts w:asciiTheme="majorHAnsi" w:hAnsiTheme="majorHAnsi"/>
        </w:rPr>
        <w:t xml:space="preserve">some confusion </w:t>
      </w:r>
      <w:r w:rsidR="00D3308E">
        <w:rPr>
          <w:rFonts w:asciiTheme="majorHAnsi" w:hAnsiTheme="majorHAnsi"/>
        </w:rPr>
        <w:t>regarding this</w:t>
      </w:r>
      <w:r>
        <w:rPr>
          <w:rFonts w:asciiTheme="majorHAnsi" w:hAnsiTheme="majorHAnsi"/>
        </w:rPr>
        <w:t xml:space="preserve"> </w:t>
      </w:r>
      <w:proofErr w:type="gramStart"/>
      <w:r w:rsidR="003715E2">
        <w:rPr>
          <w:rFonts w:asciiTheme="majorHAnsi" w:hAnsiTheme="majorHAnsi"/>
        </w:rPr>
        <w:t>question</w:t>
      </w:r>
      <w:proofErr w:type="gramEnd"/>
      <w:r w:rsidR="003715E2">
        <w:rPr>
          <w:rFonts w:asciiTheme="majorHAnsi" w:hAnsiTheme="majorHAnsi"/>
        </w:rPr>
        <w:t xml:space="preserve"> as a third of respondents did not answer. However, almost half of filter us</w:t>
      </w:r>
      <w:r>
        <w:rPr>
          <w:rFonts w:asciiTheme="majorHAnsi" w:hAnsiTheme="majorHAnsi"/>
        </w:rPr>
        <w:t>ers (47%) suggested a price</w:t>
      </w:r>
      <w:r w:rsidR="003715E2">
        <w:rPr>
          <w:rFonts w:asciiTheme="majorHAnsi" w:hAnsiTheme="majorHAnsi"/>
        </w:rPr>
        <w:t xml:space="preserve"> in line with what the market would be likely to sell the filters for</w:t>
      </w:r>
      <w:r>
        <w:rPr>
          <w:rFonts w:asciiTheme="majorHAnsi" w:hAnsiTheme="majorHAnsi"/>
        </w:rPr>
        <w:t xml:space="preserve"> (NB: the manufacturing cost of ceramic filter bowls is approximately $3 whist the food grade plastic receptacles are more expensive and increase the price of the filter unit considerably)</w:t>
      </w:r>
      <w:r w:rsidR="003715E2">
        <w:rPr>
          <w:rFonts w:asciiTheme="majorHAnsi" w:hAnsiTheme="majorHAnsi"/>
        </w:rPr>
        <w:t>.</w:t>
      </w:r>
      <w:r w:rsidR="007F346B">
        <w:rPr>
          <w:rFonts w:asciiTheme="majorHAnsi" w:hAnsiTheme="majorHAnsi"/>
        </w:rPr>
        <w:t xml:space="preserve"> </w:t>
      </w:r>
    </w:p>
    <w:p w14:paraId="77EE7F4B" w14:textId="77777777" w:rsidR="00646630" w:rsidRDefault="00646630">
      <w:pPr>
        <w:rPr>
          <w:rFonts w:asciiTheme="majorHAnsi" w:hAnsiTheme="majorHAnsi"/>
        </w:rPr>
      </w:pPr>
      <w:r>
        <w:rPr>
          <w:rFonts w:asciiTheme="majorHAnsi" w:hAnsiTheme="majorHAnsi"/>
        </w:rPr>
        <w:br w:type="page"/>
      </w:r>
    </w:p>
    <w:p w14:paraId="4645C863" w14:textId="77777777" w:rsidR="00F90FE3" w:rsidRPr="00030179" w:rsidRDefault="00F90FE3" w:rsidP="00F6060F">
      <w:pPr>
        <w:spacing w:after="120"/>
        <w:jc w:val="both"/>
        <w:rPr>
          <w:rFonts w:asciiTheme="majorHAnsi" w:hAnsiTheme="majorHAnsi"/>
          <w:sz w:val="8"/>
          <w:szCs w:val="8"/>
        </w:rPr>
      </w:pPr>
    </w:p>
    <w:p w14:paraId="201FA556" w14:textId="38ADBF8B" w:rsidR="00254C55" w:rsidRPr="00E64758" w:rsidRDefault="00254C55" w:rsidP="00254C55">
      <w:pPr>
        <w:pStyle w:val="Heading2"/>
        <w:spacing w:after="120"/>
        <w:rPr>
          <w:color w:val="548DD4" w:themeColor="text2" w:themeTint="99"/>
          <w:sz w:val="24"/>
          <w:szCs w:val="24"/>
        </w:rPr>
      </w:pPr>
      <w:bookmarkStart w:id="43" w:name="_Toc292703952"/>
      <w:bookmarkStart w:id="44" w:name="_Toc292704170"/>
      <w:bookmarkStart w:id="45" w:name="_Toc294273148"/>
      <w:r w:rsidRPr="00E64758">
        <w:rPr>
          <w:color w:val="548DD4" w:themeColor="text2" w:themeTint="99"/>
          <w:sz w:val="24"/>
          <w:szCs w:val="24"/>
        </w:rPr>
        <w:t>HANDWASHING BEHAVIOURS</w:t>
      </w:r>
      <w:bookmarkEnd w:id="43"/>
      <w:bookmarkEnd w:id="44"/>
      <w:bookmarkEnd w:id="45"/>
      <w:r w:rsidRPr="00E64758">
        <w:rPr>
          <w:color w:val="548DD4" w:themeColor="text2" w:themeTint="99"/>
          <w:sz w:val="24"/>
          <w:szCs w:val="24"/>
        </w:rPr>
        <w:t xml:space="preserve"> </w:t>
      </w:r>
    </w:p>
    <w:p w14:paraId="2EC721C7" w14:textId="2E762FAD" w:rsidR="00254C55" w:rsidRDefault="001012C3" w:rsidP="001012C3">
      <w:pPr>
        <w:spacing w:after="120"/>
        <w:jc w:val="both"/>
        <w:rPr>
          <w:rFonts w:asciiTheme="majorHAnsi" w:hAnsiTheme="majorHAnsi"/>
        </w:rPr>
      </w:pPr>
      <w:r w:rsidRPr="001012C3">
        <w:rPr>
          <w:rFonts w:asciiTheme="majorHAnsi" w:hAnsiTheme="majorHAnsi"/>
        </w:rPr>
        <w:t>Prior to being asked que</w:t>
      </w:r>
      <w:r w:rsidR="00233701">
        <w:rPr>
          <w:rFonts w:asciiTheme="majorHAnsi" w:hAnsiTheme="majorHAnsi"/>
        </w:rPr>
        <w:t xml:space="preserve">stions relating to handwashing, </w:t>
      </w:r>
      <w:r w:rsidRPr="001012C3">
        <w:rPr>
          <w:rFonts w:asciiTheme="majorHAnsi" w:hAnsiTheme="majorHAnsi"/>
        </w:rPr>
        <w:t xml:space="preserve">enumerators </w:t>
      </w:r>
      <w:r w:rsidR="00233701">
        <w:rPr>
          <w:rFonts w:asciiTheme="majorHAnsi" w:hAnsiTheme="majorHAnsi"/>
        </w:rPr>
        <w:t>asked the respondent to provide materials so that the enumerator could wash their hands</w:t>
      </w:r>
      <w:r>
        <w:rPr>
          <w:rFonts w:asciiTheme="majorHAnsi" w:hAnsiTheme="majorHAnsi"/>
        </w:rPr>
        <w:t xml:space="preserve">. Soap was provided by </w:t>
      </w:r>
      <w:r w:rsidR="00A6315F">
        <w:rPr>
          <w:rFonts w:asciiTheme="majorHAnsi" w:hAnsiTheme="majorHAnsi"/>
        </w:rPr>
        <w:t xml:space="preserve">only </w:t>
      </w:r>
      <w:r>
        <w:rPr>
          <w:rFonts w:asciiTheme="majorHAnsi" w:hAnsiTheme="majorHAnsi"/>
        </w:rPr>
        <w:t>64% of households (73% in IDP camps and 54% in villages)</w:t>
      </w:r>
      <w:r w:rsidR="00A6315F">
        <w:rPr>
          <w:rFonts w:asciiTheme="majorHAnsi" w:hAnsiTheme="majorHAnsi"/>
        </w:rPr>
        <w:t xml:space="preserve">. In households where soap was unavailable, 60% (20% </w:t>
      </w:r>
      <w:r w:rsidR="003F7137">
        <w:rPr>
          <w:rFonts w:asciiTheme="majorHAnsi" w:hAnsiTheme="majorHAnsi"/>
        </w:rPr>
        <w:t>of all respondents) claimed they could not afford it</w:t>
      </w:r>
      <w:r w:rsidR="00A6315F">
        <w:rPr>
          <w:rFonts w:asciiTheme="majorHAnsi" w:hAnsiTheme="majorHAnsi"/>
        </w:rPr>
        <w:t xml:space="preserve"> or that their household had more pressing priorities to spend their limited domestic income. Given the regular distributions of soap by WASH agencies and the availability of soap throughout the target area at a ‘reasonable’ price, this was surprising. </w:t>
      </w:r>
      <w:r>
        <w:rPr>
          <w:rFonts w:asciiTheme="majorHAnsi" w:hAnsiTheme="majorHAnsi"/>
        </w:rPr>
        <w:t xml:space="preserve"> </w:t>
      </w:r>
    </w:p>
    <w:p w14:paraId="347B3513" w14:textId="77777777" w:rsidR="001012C3" w:rsidRPr="00030179" w:rsidRDefault="001012C3" w:rsidP="001012C3">
      <w:pPr>
        <w:spacing w:after="120"/>
        <w:jc w:val="both"/>
        <w:rPr>
          <w:rFonts w:asciiTheme="majorHAnsi" w:hAnsiTheme="majorHAnsi"/>
          <w:sz w:val="8"/>
          <w:szCs w:val="8"/>
        </w:rPr>
      </w:pPr>
    </w:p>
    <w:p w14:paraId="29ABFDF1" w14:textId="64F82364" w:rsidR="001012C3" w:rsidRDefault="001012C3" w:rsidP="001012C3">
      <w:pPr>
        <w:spacing w:after="120"/>
        <w:rPr>
          <w:sz w:val="20"/>
          <w:szCs w:val="20"/>
        </w:rPr>
      </w:pPr>
      <w:r>
        <w:rPr>
          <w:noProof/>
          <w:lang w:val="en-US"/>
        </w:rPr>
        <w:drawing>
          <wp:anchor distT="0" distB="0" distL="114300" distR="114300" simplePos="0" relativeHeight="251713536" behindDoc="0" locked="0" layoutInCell="1" allowOverlap="1" wp14:anchorId="7D99A946" wp14:editId="664B7EE7">
            <wp:simplePos x="0" y="0"/>
            <wp:positionH relativeFrom="column">
              <wp:posOffset>2514600</wp:posOffset>
            </wp:positionH>
            <wp:positionV relativeFrom="paragraph">
              <wp:posOffset>123190</wp:posOffset>
            </wp:positionV>
            <wp:extent cx="3771900" cy="2733040"/>
            <wp:effectExtent l="0" t="0" r="0" b="10160"/>
            <wp:wrapNone/>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14:paraId="4639E20A" w14:textId="7BC23856" w:rsidR="001012C3" w:rsidRDefault="001012C3" w:rsidP="001012C3">
      <w:pPr>
        <w:spacing w:after="120"/>
        <w:rPr>
          <w:sz w:val="20"/>
          <w:szCs w:val="20"/>
        </w:rPr>
      </w:pPr>
      <w:r>
        <w:rPr>
          <w:noProof/>
          <w:lang w:val="en-US"/>
        </w:rPr>
        <w:drawing>
          <wp:inline distT="0" distB="0" distL="0" distR="0" wp14:anchorId="0C98A8FD" wp14:editId="44076597">
            <wp:extent cx="2623820" cy="2750820"/>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FAE6634" w14:textId="77777777" w:rsidR="00030179" w:rsidRDefault="00030179" w:rsidP="001012C3">
      <w:pPr>
        <w:spacing w:after="120"/>
        <w:rPr>
          <w:sz w:val="20"/>
          <w:szCs w:val="20"/>
        </w:rPr>
      </w:pPr>
    </w:p>
    <w:p w14:paraId="0093A759" w14:textId="40D1F215" w:rsidR="00030179" w:rsidRPr="00030179" w:rsidRDefault="00275401" w:rsidP="00030179">
      <w:pPr>
        <w:spacing w:after="120"/>
        <w:jc w:val="both"/>
        <w:rPr>
          <w:rFonts w:asciiTheme="majorHAnsi" w:hAnsiTheme="majorHAnsi"/>
        </w:rPr>
      </w:pPr>
      <w:r w:rsidRPr="00030179">
        <w:rPr>
          <w:noProof/>
          <w:sz w:val="8"/>
          <w:szCs w:val="8"/>
          <w:lang w:val="en-US"/>
        </w:rPr>
        <w:drawing>
          <wp:anchor distT="0" distB="0" distL="114300" distR="114300" simplePos="0" relativeHeight="251715584" behindDoc="0" locked="0" layoutInCell="1" allowOverlap="1" wp14:anchorId="61AD48D4" wp14:editId="07079770">
            <wp:simplePos x="0" y="0"/>
            <wp:positionH relativeFrom="column">
              <wp:posOffset>3771900</wp:posOffset>
            </wp:positionH>
            <wp:positionV relativeFrom="paragraph">
              <wp:posOffset>693420</wp:posOffset>
            </wp:positionV>
            <wp:extent cx="2514600" cy="2971800"/>
            <wp:effectExtent l="0" t="0" r="0" b="0"/>
            <wp:wrapNone/>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00030179" w:rsidRPr="00030179">
        <w:rPr>
          <w:rFonts w:asciiTheme="majorHAnsi" w:hAnsiTheme="majorHAnsi"/>
        </w:rPr>
        <w:t>When questioned about the most important times to wash hands, only 53% of respondents were able to name two or more cri</w:t>
      </w:r>
      <w:r w:rsidR="00137274">
        <w:rPr>
          <w:rFonts w:asciiTheme="majorHAnsi" w:hAnsiTheme="majorHAnsi"/>
        </w:rPr>
        <w:t>tical times and only one in five</w:t>
      </w:r>
      <w:r w:rsidR="00030179" w:rsidRPr="00030179">
        <w:rPr>
          <w:rFonts w:asciiTheme="majorHAnsi" w:hAnsiTheme="majorHAnsi"/>
        </w:rPr>
        <w:t xml:space="preserve"> househ</w:t>
      </w:r>
      <w:r w:rsidR="00030179">
        <w:rPr>
          <w:rFonts w:asciiTheme="majorHAnsi" w:hAnsiTheme="majorHAnsi"/>
        </w:rPr>
        <w:t>olds could name 3</w:t>
      </w:r>
      <w:r w:rsidR="00137274">
        <w:rPr>
          <w:rFonts w:asciiTheme="majorHAnsi" w:hAnsiTheme="majorHAnsi"/>
        </w:rPr>
        <w:t xml:space="preserve"> (21%)</w:t>
      </w:r>
      <w:r w:rsidR="00030179" w:rsidRPr="00030179">
        <w:rPr>
          <w:rFonts w:asciiTheme="majorHAnsi" w:hAnsiTheme="majorHAnsi"/>
        </w:rPr>
        <w:t>. No significant difference</w:t>
      </w:r>
      <w:r w:rsidR="00030179">
        <w:rPr>
          <w:rFonts w:asciiTheme="majorHAnsi" w:hAnsiTheme="majorHAnsi"/>
        </w:rPr>
        <w:t>s</w:t>
      </w:r>
      <w:r w:rsidR="00030179" w:rsidRPr="00030179">
        <w:rPr>
          <w:rFonts w:asciiTheme="majorHAnsi" w:hAnsiTheme="majorHAnsi"/>
        </w:rPr>
        <w:t xml:space="preserve"> were observed between respondents in IDP camp</w:t>
      </w:r>
      <w:r>
        <w:rPr>
          <w:rFonts w:asciiTheme="majorHAnsi" w:hAnsiTheme="majorHAnsi"/>
        </w:rPr>
        <w:t>s</w:t>
      </w:r>
      <w:r w:rsidR="00030179" w:rsidRPr="00030179">
        <w:rPr>
          <w:rFonts w:asciiTheme="majorHAnsi" w:hAnsiTheme="majorHAnsi"/>
        </w:rPr>
        <w:t xml:space="preserve"> and those in villages</w:t>
      </w:r>
      <w:r>
        <w:rPr>
          <w:rFonts w:asciiTheme="majorHAnsi" w:hAnsiTheme="majorHAnsi"/>
        </w:rPr>
        <w:t>, nor between the genders of respondents</w:t>
      </w:r>
      <w:r w:rsidR="00030179" w:rsidRPr="00030179">
        <w:rPr>
          <w:rFonts w:asciiTheme="majorHAnsi" w:hAnsiTheme="majorHAnsi"/>
        </w:rPr>
        <w:t>.</w:t>
      </w:r>
    </w:p>
    <w:p w14:paraId="35A16B28" w14:textId="198870D9" w:rsidR="001012C3" w:rsidRPr="00030179" w:rsidRDefault="001012C3" w:rsidP="001012C3">
      <w:pPr>
        <w:spacing w:after="120"/>
        <w:rPr>
          <w:sz w:val="8"/>
          <w:szCs w:val="8"/>
        </w:rPr>
      </w:pPr>
    </w:p>
    <w:p w14:paraId="6ECFCF02" w14:textId="22807F84" w:rsidR="00965664" w:rsidRDefault="00965664" w:rsidP="00254C55">
      <w:pPr>
        <w:spacing w:after="120"/>
        <w:rPr>
          <w:sz w:val="20"/>
          <w:szCs w:val="20"/>
        </w:rPr>
      </w:pPr>
      <w:r>
        <w:rPr>
          <w:noProof/>
          <w:lang w:val="en-US"/>
        </w:rPr>
        <w:drawing>
          <wp:inline distT="0" distB="0" distL="0" distR="0" wp14:anchorId="36A8B835" wp14:editId="5E3C06C3">
            <wp:extent cx="3881120" cy="2618740"/>
            <wp:effectExtent l="0" t="0" r="508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9926E8D" w14:textId="77777777" w:rsidR="00682B4B" w:rsidRDefault="00682B4B" w:rsidP="00254C55">
      <w:pPr>
        <w:spacing w:after="120"/>
        <w:rPr>
          <w:sz w:val="20"/>
          <w:szCs w:val="20"/>
        </w:rPr>
      </w:pPr>
    </w:p>
    <w:p w14:paraId="61A7F388" w14:textId="652C0859" w:rsidR="00682B4B" w:rsidRDefault="00111BE9" w:rsidP="00254C55">
      <w:pPr>
        <w:spacing w:after="120"/>
        <w:rPr>
          <w:sz w:val="20"/>
          <w:szCs w:val="20"/>
        </w:rPr>
      </w:pPr>
      <w:r>
        <w:rPr>
          <w:noProof/>
          <w:lang w:val="en-US"/>
        </w:rPr>
        <w:drawing>
          <wp:anchor distT="0" distB="0" distL="114300" distR="114300" simplePos="0" relativeHeight="251716608" behindDoc="0" locked="0" layoutInCell="1" allowOverlap="1" wp14:anchorId="7CBE4080" wp14:editId="770E6C42">
            <wp:simplePos x="0" y="0"/>
            <wp:positionH relativeFrom="column">
              <wp:posOffset>2514600</wp:posOffset>
            </wp:positionH>
            <wp:positionV relativeFrom="paragraph">
              <wp:posOffset>-119380</wp:posOffset>
            </wp:positionV>
            <wp:extent cx="3652520" cy="2286000"/>
            <wp:effectExtent l="0" t="0" r="5080" b="0"/>
            <wp:wrapSquare wrapText="bothSides"/>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14:paraId="6993835C" w14:textId="0B01F54C" w:rsidR="00111BE9" w:rsidRDefault="00111BE9" w:rsidP="00111BE9">
      <w:pPr>
        <w:spacing w:after="120"/>
        <w:jc w:val="both"/>
        <w:rPr>
          <w:rFonts w:asciiTheme="majorHAnsi" w:hAnsiTheme="majorHAnsi"/>
        </w:rPr>
      </w:pPr>
    </w:p>
    <w:p w14:paraId="635548CB" w14:textId="67C8C074" w:rsidR="00137274" w:rsidRPr="00111BE9" w:rsidRDefault="00137274" w:rsidP="00111BE9">
      <w:pPr>
        <w:spacing w:after="120"/>
        <w:jc w:val="both"/>
        <w:rPr>
          <w:rFonts w:asciiTheme="majorHAnsi" w:hAnsiTheme="majorHAnsi"/>
        </w:rPr>
      </w:pPr>
      <w:r w:rsidRPr="00111BE9">
        <w:rPr>
          <w:rFonts w:asciiTheme="majorHAnsi" w:hAnsiTheme="majorHAnsi"/>
        </w:rPr>
        <w:t>Further questioning regarding the reasons for handwashing did not reveal a strong connection between handwashing and reducing the risk of illnesses</w:t>
      </w:r>
      <w:r w:rsidR="00111BE9">
        <w:rPr>
          <w:rFonts w:asciiTheme="majorHAnsi" w:hAnsiTheme="majorHAnsi"/>
        </w:rPr>
        <w:t xml:space="preserve">. Only 28% of respondents mentioned this for this question and </w:t>
      </w:r>
      <w:r w:rsidR="00111BE9" w:rsidRPr="00111BE9">
        <w:rPr>
          <w:rFonts w:asciiTheme="majorHAnsi" w:hAnsiTheme="majorHAnsi"/>
        </w:rPr>
        <w:t xml:space="preserve">only 27% </w:t>
      </w:r>
      <w:r w:rsidR="00111BE9">
        <w:rPr>
          <w:rFonts w:asciiTheme="majorHAnsi" w:hAnsiTheme="majorHAnsi"/>
        </w:rPr>
        <w:t xml:space="preserve">for the question connected to the causes of diarrhoea. </w:t>
      </w:r>
    </w:p>
    <w:p w14:paraId="26C57A17" w14:textId="43A58E02" w:rsidR="00976A79" w:rsidRPr="00B01DC9" w:rsidRDefault="00976A79" w:rsidP="00254C55">
      <w:pPr>
        <w:spacing w:after="120"/>
        <w:rPr>
          <w:sz w:val="18"/>
          <w:szCs w:val="18"/>
        </w:rPr>
      </w:pPr>
    </w:p>
    <w:p w14:paraId="373BED44" w14:textId="047968F2" w:rsidR="00764A6A" w:rsidRPr="00111BE9" w:rsidRDefault="00111BE9" w:rsidP="00F36E5E">
      <w:pPr>
        <w:spacing w:after="120"/>
        <w:jc w:val="both"/>
        <w:rPr>
          <w:rFonts w:asciiTheme="majorHAnsi" w:hAnsiTheme="majorHAnsi"/>
        </w:rPr>
      </w:pPr>
      <w:r w:rsidRPr="00111BE9">
        <w:rPr>
          <w:rFonts w:asciiTheme="majorHAnsi" w:hAnsiTheme="majorHAnsi"/>
        </w:rPr>
        <w:t xml:space="preserve">Observations in the field revealed that </w:t>
      </w:r>
      <w:r w:rsidR="00F36E5E">
        <w:rPr>
          <w:rFonts w:asciiTheme="majorHAnsi" w:hAnsiTheme="majorHAnsi"/>
        </w:rPr>
        <w:t xml:space="preserve">it is not uncommon for people in the target area to only wash one hand before eating meals. However, when questioned directly on the subject, </w:t>
      </w:r>
      <w:r w:rsidR="00B133C4">
        <w:rPr>
          <w:rFonts w:asciiTheme="majorHAnsi" w:hAnsiTheme="majorHAnsi"/>
        </w:rPr>
        <w:t xml:space="preserve">only 8 respondents admitted to practicing this. </w:t>
      </w:r>
      <w:r w:rsidR="00F36E5E">
        <w:rPr>
          <w:rFonts w:asciiTheme="majorHAnsi" w:hAnsiTheme="majorHAnsi"/>
        </w:rPr>
        <w:t>Whilst beneficiaries do not t</w:t>
      </w:r>
      <w:r w:rsidR="00B133C4">
        <w:rPr>
          <w:rFonts w:asciiTheme="majorHAnsi" w:hAnsiTheme="majorHAnsi"/>
        </w:rPr>
        <w:t>ouch food with their left hand,</w:t>
      </w:r>
      <w:r w:rsidR="00F36E5E">
        <w:rPr>
          <w:rFonts w:asciiTheme="majorHAnsi" w:hAnsiTheme="majorHAnsi"/>
        </w:rPr>
        <w:t xml:space="preserve"> there is clearly</w:t>
      </w:r>
      <w:r w:rsidR="00B133C4">
        <w:rPr>
          <w:rFonts w:asciiTheme="majorHAnsi" w:hAnsiTheme="majorHAnsi"/>
        </w:rPr>
        <w:t xml:space="preserve"> an issue for transmission as the left hand touches numerous surfaces during meals.</w:t>
      </w:r>
      <w:r w:rsidR="00F36E5E">
        <w:rPr>
          <w:rFonts w:asciiTheme="majorHAnsi" w:hAnsiTheme="majorHAnsi"/>
        </w:rPr>
        <w:t xml:space="preserve"> </w:t>
      </w:r>
    </w:p>
    <w:p w14:paraId="110A280B" w14:textId="77777777" w:rsidR="00764A6A" w:rsidRPr="00B01DC9" w:rsidRDefault="00764A6A" w:rsidP="00254C55">
      <w:pPr>
        <w:spacing w:after="120"/>
        <w:rPr>
          <w:sz w:val="18"/>
          <w:szCs w:val="18"/>
        </w:rPr>
      </w:pPr>
    </w:p>
    <w:p w14:paraId="40BBB6B3" w14:textId="5DC51C92" w:rsidR="00B133C4" w:rsidRPr="00B133C4" w:rsidRDefault="00B133C4" w:rsidP="00B133C4">
      <w:pPr>
        <w:spacing w:after="120"/>
        <w:jc w:val="both"/>
        <w:rPr>
          <w:rFonts w:asciiTheme="majorHAnsi" w:hAnsiTheme="majorHAnsi"/>
        </w:rPr>
      </w:pPr>
      <w:r w:rsidRPr="00B133C4">
        <w:rPr>
          <w:rFonts w:asciiTheme="majorHAnsi" w:hAnsiTheme="majorHAnsi"/>
        </w:rPr>
        <w:t>Previous surveys conducted by the nutrition sector have been unable to determine whether handwashing messages provided to mothers and care givers on the importance of handwashing before feeding children have been successful or not. Subsequently, questions relating specifically to this target group were asked during this survey</w:t>
      </w:r>
      <w:r w:rsidR="00B219EC">
        <w:rPr>
          <w:rFonts w:asciiTheme="majorHAnsi" w:hAnsiTheme="majorHAnsi"/>
        </w:rPr>
        <w:t xml:space="preserve"> where 95% of respondents fell into this </w:t>
      </w:r>
      <w:r w:rsidR="00B01DC9">
        <w:rPr>
          <w:rFonts w:asciiTheme="majorHAnsi" w:hAnsiTheme="majorHAnsi"/>
        </w:rPr>
        <w:t>target group</w:t>
      </w:r>
      <w:r w:rsidRPr="00B133C4">
        <w:rPr>
          <w:rFonts w:asciiTheme="majorHAnsi" w:hAnsiTheme="majorHAnsi"/>
        </w:rPr>
        <w:t xml:space="preserve">.  </w:t>
      </w:r>
    </w:p>
    <w:p w14:paraId="7C5CC000" w14:textId="77777777" w:rsidR="00B133C4" w:rsidRPr="00B01DC9" w:rsidRDefault="00B133C4" w:rsidP="00254C55">
      <w:pPr>
        <w:spacing w:after="120"/>
        <w:rPr>
          <w:sz w:val="18"/>
          <w:szCs w:val="18"/>
        </w:rPr>
      </w:pPr>
    </w:p>
    <w:p w14:paraId="64A290FD" w14:textId="2BF4B24D" w:rsidR="00B219EC" w:rsidRDefault="00B219EC" w:rsidP="00B219EC">
      <w:pPr>
        <w:jc w:val="both"/>
        <w:rPr>
          <w:rFonts w:asciiTheme="majorHAnsi" w:hAnsiTheme="majorHAnsi"/>
        </w:rPr>
      </w:pPr>
      <w:r>
        <w:rPr>
          <w:rFonts w:asciiTheme="majorHAnsi" w:hAnsiTheme="majorHAnsi"/>
        </w:rPr>
        <w:t xml:space="preserve">Although </w:t>
      </w:r>
      <w:r w:rsidRPr="00CB1A55">
        <w:rPr>
          <w:rFonts w:asciiTheme="majorHAnsi" w:hAnsiTheme="majorHAnsi"/>
        </w:rPr>
        <w:t xml:space="preserve">78% of </w:t>
      </w:r>
      <w:r>
        <w:rPr>
          <w:rFonts w:asciiTheme="majorHAnsi" w:hAnsiTheme="majorHAnsi"/>
        </w:rPr>
        <w:t xml:space="preserve">respondent </w:t>
      </w:r>
      <w:r w:rsidRPr="00CB1A55">
        <w:rPr>
          <w:rFonts w:asciiTheme="majorHAnsi" w:hAnsiTheme="majorHAnsi"/>
        </w:rPr>
        <w:t>mothers and care givers mentioned the importance of handwashing before feeding children</w:t>
      </w:r>
      <w:r>
        <w:rPr>
          <w:rFonts w:asciiTheme="majorHAnsi" w:hAnsiTheme="majorHAnsi"/>
        </w:rPr>
        <w:t xml:space="preserve"> indicating a high level of knowledge, practices appear lower with only 33% of the 55 respondents caring for children under 6-months-old reporting handwashing </w:t>
      </w:r>
      <w:r w:rsidRPr="00CB1A55">
        <w:rPr>
          <w:rFonts w:asciiTheme="majorHAnsi" w:hAnsiTheme="majorHAnsi"/>
        </w:rPr>
        <w:t xml:space="preserve">before breastfeeding </w:t>
      </w:r>
      <w:r>
        <w:rPr>
          <w:rFonts w:asciiTheme="majorHAnsi" w:hAnsiTheme="majorHAnsi"/>
        </w:rPr>
        <w:t>and only 26% of the 147 respondents caring for infants aged 6-24 months, reporting handwashing before supplementary feeding.</w:t>
      </w:r>
      <w:r w:rsidR="00B01DC9">
        <w:rPr>
          <w:rFonts w:asciiTheme="majorHAnsi" w:hAnsiTheme="majorHAnsi"/>
        </w:rPr>
        <w:t xml:space="preserve"> The findings presented in the chart below (right) include the response of all respondents and subsequently percentages differ slightly from those stated in this paragraph.</w:t>
      </w:r>
    </w:p>
    <w:p w14:paraId="1F9FE225" w14:textId="7F2A833F" w:rsidR="00C42AA2" w:rsidRPr="00254C55" w:rsidRDefault="00CF5BB2" w:rsidP="00254C55">
      <w:pPr>
        <w:spacing w:after="120"/>
        <w:rPr>
          <w:sz w:val="20"/>
          <w:szCs w:val="20"/>
        </w:rPr>
      </w:pPr>
      <w:r>
        <w:rPr>
          <w:noProof/>
          <w:lang w:val="en-US"/>
        </w:rPr>
        <w:drawing>
          <wp:anchor distT="0" distB="0" distL="114300" distR="114300" simplePos="0" relativeHeight="251732992" behindDoc="0" locked="0" layoutInCell="1" allowOverlap="1" wp14:anchorId="546F8F7D" wp14:editId="37664136">
            <wp:simplePos x="0" y="0"/>
            <wp:positionH relativeFrom="column">
              <wp:posOffset>2400300</wp:posOffset>
            </wp:positionH>
            <wp:positionV relativeFrom="paragraph">
              <wp:posOffset>15875</wp:posOffset>
            </wp:positionV>
            <wp:extent cx="3766820" cy="2743200"/>
            <wp:effectExtent l="0" t="0" r="0" b="0"/>
            <wp:wrapNone/>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14:paraId="33F5E985" w14:textId="4DA2F1FE" w:rsidR="00E033DC" w:rsidRDefault="00C42AA2">
      <w:pPr>
        <w:rPr>
          <w:color w:val="548DD4" w:themeColor="text2" w:themeTint="99"/>
        </w:rPr>
      </w:pPr>
      <w:bookmarkStart w:id="46" w:name="_Toc292703953"/>
      <w:bookmarkStart w:id="47" w:name="_Toc292704171"/>
      <w:r>
        <w:rPr>
          <w:noProof/>
          <w:lang w:val="en-US"/>
        </w:rPr>
        <w:drawing>
          <wp:inline distT="0" distB="0" distL="0" distR="0" wp14:anchorId="54DB6D67" wp14:editId="46676860">
            <wp:extent cx="2052320" cy="2390140"/>
            <wp:effectExtent l="0" t="0" r="508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41A255A" w14:textId="3C380DB7" w:rsidR="00155A61" w:rsidRDefault="004C42CF" w:rsidP="0025692E">
      <w:pPr>
        <w:jc w:val="both"/>
        <w:rPr>
          <w:rFonts w:asciiTheme="majorHAnsi" w:hAnsiTheme="majorHAnsi"/>
        </w:rPr>
      </w:pPr>
      <w:r w:rsidRPr="004C42CF">
        <w:rPr>
          <w:rFonts w:asciiTheme="majorHAnsi" w:hAnsiTheme="majorHAnsi"/>
        </w:rPr>
        <w:t xml:space="preserve">Mothers </w:t>
      </w:r>
      <w:r w:rsidR="008C5997">
        <w:rPr>
          <w:rFonts w:asciiTheme="majorHAnsi" w:hAnsiTheme="majorHAnsi"/>
        </w:rPr>
        <w:t xml:space="preserve">and </w:t>
      </w:r>
      <w:proofErr w:type="gramStart"/>
      <w:r w:rsidR="008C5997">
        <w:rPr>
          <w:rFonts w:asciiTheme="majorHAnsi" w:hAnsiTheme="majorHAnsi"/>
        </w:rPr>
        <w:t>care givers</w:t>
      </w:r>
      <w:proofErr w:type="gramEnd"/>
      <w:r w:rsidR="008C5997">
        <w:rPr>
          <w:rFonts w:asciiTheme="majorHAnsi" w:hAnsiTheme="majorHAnsi"/>
        </w:rPr>
        <w:t xml:space="preserve"> </w:t>
      </w:r>
      <w:r>
        <w:rPr>
          <w:rFonts w:asciiTheme="majorHAnsi" w:hAnsiTheme="majorHAnsi"/>
        </w:rPr>
        <w:t>reported that the</w:t>
      </w:r>
      <w:r w:rsidR="008C5997">
        <w:rPr>
          <w:rFonts w:asciiTheme="majorHAnsi" w:hAnsiTheme="majorHAnsi"/>
        </w:rPr>
        <w:t>y</w:t>
      </w:r>
      <w:r>
        <w:rPr>
          <w:rFonts w:asciiTheme="majorHAnsi" w:hAnsiTheme="majorHAnsi"/>
        </w:rPr>
        <w:t xml:space="preserve"> regularly remind their children to wash their hands. The three most popular responses for handwashing reminders were before eating (55%), after waking up (48%) and after defecation (45%). </w:t>
      </w:r>
      <w:r w:rsidR="000624BA">
        <w:rPr>
          <w:rFonts w:asciiTheme="majorHAnsi" w:hAnsiTheme="majorHAnsi"/>
        </w:rPr>
        <w:t xml:space="preserve">In addition, </w:t>
      </w:r>
      <w:r>
        <w:rPr>
          <w:rFonts w:asciiTheme="majorHAnsi" w:hAnsiTheme="majorHAnsi"/>
        </w:rPr>
        <w:t xml:space="preserve">two thirds of respondents </w:t>
      </w:r>
      <w:r w:rsidR="000624BA">
        <w:rPr>
          <w:rFonts w:asciiTheme="majorHAnsi" w:hAnsiTheme="majorHAnsi"/>
        </w:rPr>
        <w:t xml:space="preserve">(61%) </w:t>
      </w:r>
      <w:r>
        <w:rPr>
          <w:rFonts w:asciiTheme="majorHAnsi" w:hAnsiTheme="majorHAnsi"/>
        </w:rPr>
        <w:t>claimed that their children wash their hands wi</w:t>
      </w:r>
      <w:r w:rsidR="000624BA">
        <w:rPr>
          <w:rFonts w:asciiTheme="majorHAnsi" w:hAnsiTheme="majorHAnsi"/>
        </w:rPr>
        <w:t>th soap almost all of the time. As soap was only available in 64% of respondent households, this would imply that the children in all these households use soap most of the time</w:t>
      </w:r>
      <w:r w:rsidR="008C5997">
        <w:rPr>
          <w:rFonts w:asciiTheme="majorHAnsi" w:hAnsiTheme="majorHAnsi"/>
        </w:rPr>
        <w:t>,</w:t>
      </w:r>
      <w:r w:rsidR="000624BA">
        <w:rPr>
          <w:rFonts w:asciiTheme="majorHAnsi" w:hAnsiTheme="majorHAnsi"/>
        </w:rPr>
        <w:t xml:space="preserve"> which is highly unlikely.</w:t>
      </w:r>
    </w:p>
    <w:p w14:paraId="473DE573" w14:textId="659BE71B" w:rsidR="00764A6A" w:rsidRPr="0025692E" w:rsidRDefault="00303658" w:rsidP="0025692E">
      <w:pPr>
        <w:jc w:val="both"/>
        <w:rPr>
          <w:rFonts w:asciiTheme="majorHAnsi" w:hAnsiTheme="majorHAnsi"/>
        </w:rPr>
      </w:pPr>
      <w:r>
        <w:rPr>
          <w:rFonts w:asciiTheme="majorHAnsi" w:hAnsiTheme="majorHAnsi"/>
        </w:rPr>
        <w:t xml:space="preserve"> </w:t>
      </w:r>
    </w:p>
    <w:p w14:paraId="0AE1BAF6" w14:textId="780C2727" w:rsidR="00A12947" w:rsidRDefault="00DD3B7A">
      <w:pPr>
        <w:rPr>
          <w:color w:val="548DD4" w:themeColor="text2" w:themeTint="99"/>
        </w:rPr>
      </w:pPr>
      <w:r>
        <w:rPr>
          <w:noProof/>
          <w:lang w:val="en-US"/>
        </w:rPr>
        <w:drawing>
          <wp:anchor distT="0" distB="0" distL="114300" distR="114300" simplePos="0" relativeHeight="251717632" behindDoc="0" locked="0" layoutInCell="1" allowOverlap="1" wp14:anchorId="67615ED0" wp14:editId="6258DC6F">
            <wp:simplePos x="0" y="0"/>
            <wp:positionH relativeFrom="column">
              <wp:posOffset>3314700</wp:posOffset>
            </wp:positionH>
            <wp:positionV relativeFrom="paragraph">
              <wp:posOffset>15240</wp:posOffset>
            </wp:positionV>
            <wp:extent cx="3195320" cy="2743200"/>
            <wp:effectExtent l="0" t="0" r="5080" b="0"/>
            <wp:wrapNone/>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sidR="00A12947">
        <w:rPr>
          <w:noProof/>
          <w:lang w:val="en-US"/>
        </w:rPr>
        <w:drawing>
          <wp:inline distT="0" distB="0" distL="0" distR="0" wp14:anchorId="608F044E" wp14:editId="4D394FB8">
            <wp:extent cx="3423920" cy="2870200"/>
            <wp:effectExtent l="0" t="0" r="508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E2FD4BF" w14:textId="77777777" w:rsidR="00A12947" w:rsidRDefault="00A12947">
      <w:pPr>
        <w:rPr>
          <w:color w:val="548DD4" w:themeColor="text2" w:themeTint="99"/>
        </w:rPr>
      </w:pPr>
    </w:p>
    <w:p w14:paraId="0EB764DD" w14:textId="77777777" w:rsidR="000B02AB" w:rsidRDefault="000B02AB">
      <w:pPr>
        <w:rPr>
          <w:color w:val="548DD4" w:themeColor="text2" w:themeTint="99"/>
        </w:rPr>
      </w:pPr>
    </w:p>
    <w:p w14:paraId="0E8C0E0E" w14:textId="28FDF36B" w:rsidR="00254C55" w:rsidRPr="006D255A" w:rsidRDefault="00254C55" w:rsidP="00254C55">
      <w:pPr>
        <w:pStyle w:val="Heading2"/>
        <w:spacing w:after="120"/>
        <w:rPr>
          <w:color w:val="548DD4" w:themeColor="text2" w:themeTint="99"/>
          <w:sz w:val="28"/>
          <w:szCs w:val="28"/>
        </w:rPr>
      </w:pPr>
      <w:bookmarkStart w:id="48" w:name="_Toc294273149"/>
      <w:r w:rsidRPr="006D255A">
        <w:rPr>
          <w:color w:val="548DD4" w:themeColor="text2" w:themeTint="99"/>
          <w:sz w:val="28"/>
          <w:szCs w:val="28"/>
        </w:rPr>
        <w:t>FOOD HYGIENE</w:t>
      </w:r>
      <w:bookmarkEnd w:id="46"/>
      <w:bookmarkEnd w:id="47"/>
      <w:bookmarkEnd w:id="48"/>
    </w:p>
    <w:p w14:paraId="4604695A" w14:textId="32E1677F" w:rsidR="000624BA" w:rsidRPr="006D255A" w:rsidRDefault="006D255A" w:rsidP="006D255A">
      <w:pPr>
        <w:jc w:val="both"/>
        <w:rPr>
          <w:rFonts w:asciiTheme="majorHAnsi" w:hAnsiTheme="majorHAnsi"/>
        </w:rPr>
      </w:pPr>
      <w:r w:rsidRPr="006D255A">
        <w:rPr>
          <w:rFonts w:asciiTheme="majorHAnsi" w:hAnsiTheme="majorHAnsi"/>
        </w:rPr>
        <w:t xml:space="preserve">Although </w:t>
      </w:r>
      <w:r>
        <w:rPr>
          <w:rFonts w:asciiTheme="majorHAnsi" w:hAnsiTheme="majorHAnsi"/>
        </w:rPr>
        <w:t xml:space="preserve">55% of </w:t>
      </w:r>
      <w:r w:rsidRPr="006D255A">
        <w:rPr>
          <w:rFonts w:asciiTheme="majorHAnsi" w:hAnsiTheme="majorHAnsi"/>
        </w:rPr>
        <w:t>respondents i</w:t>
      </w:r>
      <w:r>
        <w:rPr>
          <w:rFonts w:asciiTheme="majorHAnsi" w:hAnsiTheme="majorHAnsi"/>
        </w:rPr>
        <w:t xml:space="preserve">dentified unclean food as a major cause of diarrhoea, there appears to be little understanding that vectors are a transmission route for diarrhoea. Observations in respondent households during the household sanitary survey revealed uncovered cooked food in 69% of households with only 17% of respondents owning a food cover. It is highly likely that unclean food is one of the most serious hygiene risks in the target area and future hygiene promotion sessions should stress the important of covering food to prevent transmission by vectors. </w:t>
      </w:r>
    </w:p>
    <w:p w14:paraId="2867A6F6" w14:textId="77777777" w:rsidR="00254C55" w:rsidRPr="00254C55" w:rsidRDefault="00254C55" w:rsidP="00254C55">
      <w:pPr>
        <w:spacing w:after="120"/>
        <w:rPr>
          <w:sz w:val="20"/>
          <w:szCs w:val="20"/>
        </w:rPr>
      </w:pPr>
    </w:p>
    <w:p w14:paraId="25357F2E" w14:textId="4AE5B262" w:rsidR="00DA147A" w:rsidRDefault="009409A4" w:rsidP="004C42CF">
      <w:pPr>
        <w:ind w:firstLine="720"/>
        <w:rPr>
          <w:rFonts w:asciiTheme="majorHAnsi" w:eastAsiaTheme="majorEastAsia" w:hAnsiTheme="majorHAnsi" w:cstheme="majorBidi"/>
          <w:b/>
          <w:bCs/>
          <w:color w:val="548DD4" w:themeColor="text2" w:themeTint="99"/>
        </w:rPr>
      </w:pPr>
      <w:bookmarkStart w:id="49" w:name="_Toc292703954"/>
      <w:bookmarkStart w:id="50" w:name="_Toc292704172"/>
      <w:r>
        <w:rPr>
          <w:noProof/>
          <w:lang w:val="en-US"/>
        </w:rPr>
        <w:drawing>
          <wp:inline distT="0" distB="0" distL="0" distR="0" wp14:anchorId="3ED6646D" wp14:editId="139785F3">
            <wp:extent cx="2458720" cy="2026920"/>
            <wp:effectExtent l="0" t="0" r="5080" b="508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noProof/>
          <w:lang w:val="en-US"/>
        </w:rPr>
        <w:drawing>
          <wp:inline distT="0" distB="0" distL="0" distR="0" wp14:anchorId="68F93829" wp14:editId="4D72F07C">
            <wp:extent cx="2839720" cy="2004060"/>
            <wp:effectExtent l="0" t="0" r="5080" b="254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DA147A">
        <w:rPr>
          <w:color w:val="548DD4" w:themeColor="text2" w:themeTint="99"/>
        </w:rPr>
        <w:br w:type="page"/>
      </w:r>
    </w:p>
    <w:p w14:paraId="7D2E10E8" w14:textId="77777777" w:rsidR="00377412" w:rsidRPr="00C4564E" w:rsidRDefault="00377412" w:rsidP="00254C55">
      <w:pPr>
        <w:pStyle w:val="Heading2"/>
        <w:spacing w:after="120"/>
        <w:rPr>
          <w:color w:val="548DD4" w:themeColor="text2" w:themeTint="99"/>
          <w:sz w:val="2"/>
          <w:szCs w:val="2"/>
        </w:rPr>
      </w:pPr>
    </w:p>
    <w:p w14:paraId="22F92B78" w14:textId="6F2446F9" w:rsidR="00254C55" w:rsidRDefault="0085142C" w:rsidP="00254C55">
      <w:pPr>
        <w:pStyle w:val="Heading2"/>
        <w:spacing w:after="120"/>
        <w:rPr>
          <w:color w:val="548DD4" w:themeColor="text2" w:themeTint="99"/>
          <w:sz w:val="24"/>
          <w:szCs w:val="24"/>
        </w:rPr>
      </w:pPr>
      <w:bookmarkStart w:id="51" w:name="_Toc294273150"/>
      <w:r>
        <w:rPr>
          <w:color w:val="548DD4" w:themeColor="text2" w:themeTint="99"/>
          <w:sz w:val="24"/>
          <w:szCs w:val="24"/>
        </w:rPr>
        <w:t>SANITATION PRACTICES</w:t>
      </w:r>
      <w:bookmarkEnd w:id="49"/>
      <w:bookmarkEnd w:id="50"/>
      <w:bookmarkEnd w:id="51"/>
      <w:r w:rsidR="00254C55" w:rsidRPr="00E64758">
        <w:rPr>
          <w:color w:val="548DD4" w:themeColor="text2" w:themeTint="99"/>
          <w:sz w:val="24"/>
          <w:szCs w:val="24"/>
        </w:rPr>
        <w:t xml:space="preserve"> </w:t>
      </w:r>
    </w:p>
    <w:p w14:paraId="0DD7E739" w14:textId="77777777" w:rsidR="007904A0" w:rsidRPr="00CD2791" w:rsidRDefault="007904A0" w:rsidP="007904A0">
      <w:pPr>
        <w:rPr>
          <w:sz w:val="4"/>
          <w:szCs w:val="4"/>
        </w:rPr>
      </w:pPr>
    </w:p>
    <w:p w14:paraId="3EC209D9" w14:textId="52ABE02F" w:rsidR="001461F2" w:rsidRDefault="00B35ECA" w:rsidP="00B35ECA">
      <w:pPr>
        <w:jc w:val="both"/>
        <w:rPr>
          <w:rFonts w:asciiTheme="majorHAnsi" w:hAnsiTheme="majorHAnsi"/>
        </w:rPr>
      </w:pPr>
      <w:r w:rsidRPr="00B35ECA">
        <w:rPr>
          <w:rFonts w:asciiTheme="majorHAnsi" w:hAnsiTheme="majorHAnsi"/>
        </w:rPr>
        <w:t xml:space="preserve">As </w:t>
      </w:r>
      <w:r>
        <w:rPr>
          <w:rFonts w:asciiTheme="majorHAnsi" w:hAnsiTheme="majorHAnsi"/>
        </w:rPr>
        <w:t xml:space="preserve">the survey </w:t>
      </w:r>
      <w:r w:rsidRPr="00B35ECA">
        <w:rPr>
          <w:rFonts w:asciiTheme="majorHAnsi" w:hAnsiTheme="majorHAnsi"/>
        </w:rPr>
        <w:t xml:space="preserve">questions relating to sanitation practices were asked in the </w:t>
      </w:r>
      <w:r>
        <w:rPr>
          <w:rFonts w:asciiTheme="majorHAnsi" w:hAnsiTheme="majorHAnsi"/>
        </w:rPr>
        <w:t xml:space="preserve">later </w:t>
      </w:r>
      <w:r w:rsidRPr="00B35ECA">
        <w:rPr>
          <w:rFonts w:asciiTheme="majorHAnsi" w:hAnsiTheme="majorHAnsi"/>
        </w:rPr>
        <w:t xml:space="preserve">half of the survey and given the sensitivity of </w:t>
      </w:r>
      <w:r>
        <w:rPr>
          <w:rFonts w:asciiTheme="majorHAnsi" w:hAnsiTheme="majorHAnsi"/>
        </w:rPr>
        <w:t xml:space="preserve">the subject, </w:t>
      </w:r>
      <w:r w:rsidRPr="00B35ECA">
        <w:rPr>
          <w:rFonts w:asciiTheme="majorHAnsi" w:hAnsiTheme="majorHAnsi"/>
        </w:rPr>
        <w:t xml:space="preserve">respondents </w:t>
      </w:r>
      <w:r>
        <w:rPr>
          <w:rFonts w:asciiTheme="majorHAnsi" w:hAnsiTheme="majorHAnsi"/>
        </w:rPr>
        <w:t xml:space="preserve">were asked about the defecation practices of their neighbours rather than </w:t>
      </w:r>
      <w:r w:rsidR="00377412">
        <w:rPr>
          <w:rFonts w:asciiTheme="majorHAnsi" w:hAnsiTheme="majorHAnsi"/>
        </w:rPr>
        <w:t xml:space="preserve">that of their </w:t>
      </w:r>
      <w:r w:rsidR="002445BB">
        <w:rPr>
          <w:rFonts w:asciiTheme="majorHAnsi" w:hAnsiTheme="majorHAnsi"/>
        </w:rPr>
        <w:t xml:space="preserve">own </w:t>
      </w:r>
      <w:r w:rsidR="00377412">
        <w:rPr>
          <w:rFonts w:asciiTheme="majorHAnsi" w:hAnsiTheme="majorHAnsi"/>
        </w:rPr>
        <w:t xml:space="preserve">household in order to obtain a general </w:t>
      </w:r>
      <w:r w:rsidR="002445BB">
        <w:rPr>
          <w:rFonts w:asciiTheme="majorHAnsi" w:hAnsiTheme="majorHAnsi"/>
        </w:rPr>
        <w:t xml:space="preserve">understanding </w:t>
      </w:r>
      <w:r w:rsidR="00377412">
        <w:rPr>
          <w:rFonts w:asciiTheme="majorHAnsi" w:hAnsiTheme="majorHAnsi"/>
        </w:rPr>
        <w:t xml:space="preserve">of the </w:t>
      </w:r>
      <w:r w:rsidR="002445BB">
        <w:rPr>
          <w:rFonts w:asciiTheme="majorHAnsi" w:hAnsiTheme="majorHAnsi"/>
        </w:rPr>
        <w:t xml:space="preserve">prevalence of </w:t>
      </w:r>
      <w:r w:rsidR="00377412">
        <w:rPr>
          <w:rFonts w:asciiTheme="majorHAnsi" w:hAnsiTheme="majorHAnsi"/>
        </w:rPr>
        <w:t xml:space="preserve">open defecation. </w:t>
      </w:r>
      <w:r w:rsidR="00CD2791">
        <w:rPr>
          <w:rFonts w:asciiTheme="majorHAnsi" w:hAnsiTheme="majorHAnsi"/>
        </w:rPr>
        <w:t>The percentages presented below indicate trends in defecation habits of different beneficiary groups. This data is not appropriate for measuring project indicators.</w:t>
      </w:r>
    </w:p>
    <w:p w14:paraId="5922063E" w14:textId="77777777" w:rsidR="00C4564E" w:rsidRPr="00C4564E" w:rsidRDefault="00C4564E" w:rsidP="00B35ECA">
      <w:pPr>
        <w:jc w:val="both"/>
        <w:rPr>
          <w:rFonts w:asciiTheme="majorHAnsi" w:hAnsiTheme="majorHAnsi"/>
          <w:sz w:val="8"/>
          <w:szCs w:val="8"/>
        </w:rPr>
      </w:pPr>
    </w:p>
    <w:p w14:paraId="35009B35" w14:textId="449644F1" w:rsidR="001461F2" w:rsidRDefault="001461F2" w:rsidP="001461F2">
      <w:pPr>
        <w:ind w:firstLine="720"/>
        <w:jc w:val="both"/>
        <w:rPr>
          <w:rFonts w:asciiTheme="majorHAnsi" w:hAnsiTheme="majorHAnsi"/>
        </w:rPr>
      </w:pPr>
      <w:r>
        <w:rPr>
          <w:rFonts w:asciiTheme="majorHAnsi" w:hAnsiTheme="majorHAnsi"/>
        </w:rPr>
        <w:t xml:space="preserve">     </w:t>
      </w:r>
      <w:r>
        <w:rPr>
          <w:noProof/>
          <w:lang w:val="en-US"/>
        </w:rPr>
        <w:drawing>
          <wp:inline distT="0" distB="0" distL="0" distR="0" wp14:anchorId="31FB1DF1" wp14:editId="79AF677C">
            <wp:extent cx="4572000" cy="2186940"/>
            <wp:effectExtent l="0" t="0" r="0"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34EFDC4" w14:textId="2E350F3C" w:rsidR="001461F2" w:rsidRDefault="001461F2" w:rsidP="00B35ECA">
      <w:pPr>
        <w:jc w:val="both"/>
        <w:rPr>
          <w:rFonts w:asciiTheme="majorHAnsi" w:hAnsiTheme="majorHAnsi"/>
        </w:rPr>
      </w:pPr>
      <w:r>
        <w:rPr>
          <w:rFonts w:asciiTheme="majorHAnsi" w:hAnsiTheme="majorHAnsi"/>
        </w:rPr>
        <w:t xml:space="preserve"> </w:t>
      </w:r>
    </w:p>
    <w:p w14:paraId="14CFC18D" w14:textId="5956A7E7" w:rsidR="004A4AED" w:rsidRPr="004A4AED" w:rsidRDefault="004A4AED" w:rsidP="00DA1F55">
      <w:pPr>
        <w:jc w:val="both"/>
        <w:rPr>
          <w:rFonts w:asciiTheme="majorHAnsi" w:hAnsiTheme="majorHAnsi"/>
        </w:rPr>
      </w:pPr>
      <w:r w:rsidRPr="004A4AED">
        <w:rPr>
          <w:rFonts w:asciiTheme="majorHAnsi" w:hAnsiTheme="majorHAnsi"/>
        </w:rPr>
        <w:t>Respondents reported tha</w:t>
      </w:r>
      <w:r w:rsidR="00DA1F55">
        <w:rPr>
          <w:rFonts w:asciiTheme="majorHAnsi" w:hAnsiTheme="majorHAnsi"/>
        </w:rPr>
        <w:t xml:space="preserve">t although </w:t>
      </w:r>
      <w:r w:rsidR="002445BB">
        <w:rPr>
          <w:rFonts w:asciiTheme="majorHAnsi" w:hAnsiTheme="majorHAnsi"/>
        </w:rPr>
        <w:t xml:space="preserve">approximately 70% of </w:t>
      </w:r>
      <w:r w:rsidR="00DA1F55">
        <w:rPr>
          <w:rFonts w:asciiTheme="majorHAnsi" w:hAnsiTheme="majorHAnsi"/>
        </w:rPr>
        <w:t>adults generally use latrines,</w:t>
      </w:r>
      <w:r>
        <w:rPr>
          <w:rFonts w:asciiTheme="majorHAnsi" w:hAnsiTheme="majorHAnsi"/>
        </w:rPr>
        <w:t xml:space="preserve"> </w:t>
      </w:r>
      <w:r w:rsidR="00DA1F55">
        <w:rPr>
          <w:rFonts w:asciiTheme="majorHAnsi" w:hAnsiTheme="majorHAnsi"/>
        </w:rPr>
        <w:t xml:space="preserve">a </w:t>
      </w:r>
      <w:r>
        <w:rPr>
          <w:rFonts w:asciiTheme="majorHAnsi" w:hAnsiTheme="majorHAnsi"/>
        </w:rPr>
        <w:t xml:space="preserve">large percentage of </w:t>
      </w:r>
      <w:r w:rsidRPr="004A4AED">
        <w:rPr>
          <w:rFonts w:asciiTheme="majorHAnsi" w:hAnsiTheme="majorHAnsi"/>
        </w:rPr>
        <w:t>children do not</w:t>
      </w:r>
      <w:r>
        <w:rPr>
          <w:rFonts w:asciiTheme="majorHAnsi" w:hAnsiTheme="majorHAnsi"/>
        </w:rPr>
        <w:t>, preferring open defecation</w:t>
      </w:r>
      <w:r w:rsidR="002445BB">
        <w:rPr>
          <w:rFonts w:asciiTheme="majorHAnsi" w:hAnsiTheme="majorHAnsi"/>
        </w:rPr>
        <w:t>. 46% of respondents reported open defecation by most of the young boys in their neighbourhood whilst 3</w:t>
      </w:r>
      <w:r w:rsidR="008C5997">
        <w:rPr>
          <w:rFonts w:asciiTheme="majorHAnsi" w:hAnsiTheme="majorHAnsi"/>
        </w:rPr>
        <w:t>3% reported that young girls</w:t>
      </w:r>
      <w:r w:rsidR="002445BB">
        <w:rPr>
          <w:rFonts w:asciiTheme="majorHAnsi" w:hAnsiTheme="majorHAnsi"/>
        </w:rPr>
        <w:t xml:space="preserve"> practice open defecation rather than use a latrine. It was also </w:t>
      </w:r>
      <w:r w:rsidR="00CD2791">
        <w:rPr>
          <w:rFonts w:asciiTheme="majorHAnsi" w:hAnsiTheme="majorHAnsi"/>
        </w:rPr>
        <w:t>reported by 14% of households that the elderly tend to defecate within the home rather than use latrines.</w:t>
      </w:r>
      <w:r w:rsidR="002445BB">
        <w:rPr>
          <w:rFonts w:asciiTheme="majorHAnsi" w:hAnsiTheme="majorHAnsi"/>
        </w:rPr>
        <w:t xml:space="preserve"> </w:t>
      </w:r>
    </w:p>
    <w:p w14:paraId="2ECE3732" w14:textId="02B49E5B" w:rsidR="007904A0" w:rsidRDefault="007904A0" w:rsidP="007904A0">
      <w:r>
        <w:rPr>
          <w:noProof/>
          <w:lang w:val="en-US"/>
        </w:rPr>
        <w:drawing>
          <wp:anchor distT="0" distB="0" distL="114300" distR="114300" simplePos="0" relativeHeight="251718656" behindDoc="0" locked="0" layoutInCell="1" allowOverlap="1" wp14:anchorId="38B0322C" wp14:editId="253FD2F9">
            <wp:simplePos x="0" y="0"/>
            <wp:positionH relativeFrom="column">
              <wp:posOffset>2971800</wp:posOffset>
            </wp:positionH>
            <wp:positionV relativeFrom="paragraph">
              <wp:posOffset>123825</wp:posOffset>
            </wp:positionV>
            <wp:extent cx="3200400" cy="2857500"/>
            <wp:effectExtent l="0" t="0" r="0" b="0"/>
            <wp:wrapNone/>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14:paraId="38284990" w14:textId="05720849" w:rsidR="007904A0" w:rsidRDefault="007904A0" w:rsidP="007904A0">
      <w:r>
        <w:rPr>
          <w:noProof/>
          <w:lang w:val="en-US"/>
        </w:rPr>
        <w:drawing>
          <wp:inline distT="0" distB="0" distL="0" distR="0" wp14:anchorId="280D84B3" wp14:editId="6AD12459">
            <wp:extent cx="2931160" cy="2799080"/>
            <wp:effectExtent l="0" t="0" r="0" b="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7904A0">
        <w:rPr>
          <w:noProof/>
          <w:lang w:val="en-US"/>
        </w:rPr>
        <w:t xml:space="preserve"> </w:t>
      </w:r>
    </w:p>
    <w:p w14:paraId="72A3A72B" w14:textId="77777777" w:rsidR="00CD2791" w:rsidRPr="00C4564E" w:rsidRDefault="00CD2791" w:rsidP="002E5ABC">
      <w:pPr>
        <w:jc w:val="both"/>
        <w:rPr>
          <w:rFonts w:asciiTheme="majorHAnsi" w:hAnsiTheme="majorHAnsi"/>
          <w:sz w:val="16"/>
          <w:szCs w:val="16"/>
        </w:rPr>
      </w:pPr>
    </w:p>
    <w:p w14:paraId="5EDC576F" w14:textId="57A40FBC" w:rsidR="007904A0" w:rsidRPr="002E5ABC" w:rsidRDefault="00CD2791" w:rsidP="002E5ABC">
      <w:pPr>
        <w:jc w:val="both"/>
        <w:rPr>
          <w:rFonts w:asciiTheme="majorHAnsi" w:hAnsiTheme="majorHAnsi"/>
        </w:rPr>
      </w:pPr>
      <w:r>
        <w:rPr>
          <w:rFonts w:asciiTheme="majorHAnsi" w:hAnsiTheme="majorHAnsi"/>
        </w:rPr>
        <w:t xml:space="preserve">Respondents reported that open defecation practices are more prevalent in the villages than in the IDP camps. </w:t>
      </w:r>
      <w:r w:rsidR="00C4564E">
        <w:rPr>
          <w:rFonts w:asciiTheme="majorHAnsi" w:hAnsiTheme="majorHAnsi"/>
        </w:rPr>
        <w:t xml:space="preserve">With lower latrine coverage, </w:t>
      </w:r>
      <w:r>
        <w:rPr>
          <w:rFonts w:asciiTheme="majorHAnsi" w:hAnsiTheme="majorHAnsi"/>
        </w:rPr>
        <w:t xml:space="preserve">open defecation </w:t>
      </w:r>
      <w:r w:rsidR="00C4564E">
        <w:rPr>
          <w:rFonts w:asciiTheme="majorHAnsi" w:hAnsiTheme="majorHAnsi"/>
        </w:rPr>
        <w:t xml:space="preserve">in the villages </w:t>
      </w:r>
      <w:r>
        <w:rPr>
          <w:rFonts w:asciiTheme="majorHAnsi" w:hAnsiTheme="majorHAnsi"/>
        </w:rPr>
        <w:t xml:space="preserve">is also </w:t>
      </w:r>
      <w:r w:rsidR="00C4564E">
        <w:rPr>
          <w:rFonts w:asciiTheme="majorHAnsi" w:hAnsiTheme="majorHAnsi"/>
        </w:rPr>
        <w:t xml:space="preserve">widely </w:t>
      </w:r>
      <w:r>
        <w:rPr>
          <w:rFonts w:asciiTheme="majorHAnsi" w:hAnsiTheme="majorHAnsi"/>
        </w:rPr>
        <w:t>practiced by adults</w:t>
      </w:r>
      <w:r w:rsidR="00C4564E">
        <w:rPr>
          <w:rFonts w:asciiTheme="majorHAnsi" w:hAnsiTheme="majorHAnsi"/>
        </w:rPr>
        <w:t xml:space="preserve"> (men 32%; women 24%)</w:t>
      </w:r>
      <w:r>
        <w:rPr>
          <w:rFonts w:asciiTheme="majorHAnsi" w:hAnsiTheme="majorHAnsi"/>
        </w:rPr>
        <w:t xml:space="preserve">, whereas in the IDP camps, </w:t>
      </w:r>
      <w:r w:rsidR="00C4564E">
        <w:rPr>
          <w:rFonts w:asciiTheme="majorHAnsi" w:hAnsiTheme="majorHAnsi"/>
        </w:rPr>
        <w:t xml:space="preserve">85% of </w:t>
      </w:r>
      <w:r>
        <w:rPr>
          <w:rFonts w:asciiTheme="majorHAnsi" w:hAnsiTheme="majorHAnsi"/>
        </w:rPr>
        <w:t>respondents claim that adu</w:t>
      </w:r>
      <w:r w:rsidR="00C4564E">
        <w:rPr>
          <w:rFonts w:asciiTheme="majorHAnsi" w:hAnsiTheme="majorHAnsi"/>
        </w:rPr>
        <w:t>lts generally use latrines</w:t>
      </w:r>
      <w:r>
        <w:rPr>
          <w:rFonts w:asciiTheme="majorHAnsi" w:hAnsiTheme="majorHAnsi"/>
        </w:rPr>
        <w:t>.</w:t>
      </w:r>
      <w:r w:rsidR="002E5ABC" w:rsidRPr="002E5ABC">
        <w:rPr>
          <w:rFonts w:asciiTheme="majorHAnsi" w:hAnsiTheme="majorHAnsi"/>
        </w:rPr>
        <w:t xml:space="preserve"> </w:t>
      </w:r>
    </w:p>
    <w:p w14:paraId="628522F7" w14:textId="7710D88A" w:rsidR="00B1263B" w:rsidRDefault="00C4564E" w:rsidP="008C76E4">
      <w:pPr>
        <w:jc w:val="both"/>
        <w:rPr>
          <w:rFonts w:asciiTheme="majorHAnsi" w:hAnsiTheme="majorHAnsi"/>
        </w:rPr>
      </w:pPr>
      <w:r w:rsidRPr="00C4564E">
        <w:rPr>
          <w:rFonts w:asciiTheme="majorHAnsi" w:hAnsiTheme="majorHAnsi"/>
        </w:rPr>
        <w:t>When questioned</w:t>
      </w:r>
      <w:r w:rsidR="00B1263B">
        <w:rPr>
          <w:rFonts w:asciiTheme="majorHAnsi" w:hAnsiTheme="majorHAnsi"/>
        </w:rPr>
        <w:t xml:space="preserve"> as to whether respondent households</w:t>
      </w:r>
      <w:r w:rsidR="008C76E4">
        <w:rPr>
          <w:rFonts w:asciiTheme="majorHAnsi" w:hAnsiTheme="majorHAnsi"/>
        </w:rPr>
        <w:t xml:space="preserve"> had</w:t>
      </w:r>
      <w:r w:rsidRPr="00C4564E">
        <w:rPr>
          <w:rFonts w:asciiTheme="majorHAnsi" w:hAnsiTheme="majorHAnsi"/>
        </w:rPr>
        <w:t xml:space="preserve"> access to a functioning latrine</w:t>
      </w:r>
      <w:r w:rsidR="00DC1166">
        <w:rPr>
          <w:rFonts w:asciiTheme="majorHAnsi" w:hAnsiTheme="majorHAnsi"/>
        </w:rPr>
        <w:t xml:space="preserve"> at the time of the survey</w:t>
      </w:r>
      <w:r w:rsidRPr="00C4564E">
        <w:rPr>
          <w:rFonts w:asciiTheme="majorHAnsi" w:hAnsiTheme="majorHAnsi"/>
        </w:rPr>
        <w:t xml:space="preserve">, 67% of respondents </w:t>
      </w:r>
      <w:r w:rsidR="00DC1166">
        <w:rPr>
          <w:rFonts w:asciiTheme="majorHAnsi" w:hAnsiTheme="majorHAnsi"/>
        </w:rPr>
        <w:t xml:space="preserve">stated that they </w:t>
      </w:r>
      <w:r w:rsidRPr="00C4564E">
        <w:rPr>
          <w:rFonts w:asciiTheme="majorHAnsi" w:hAnsiTheme="majorHAnsi"/>
        </w:rPr>
        <w:t>ha</w:t>
      </w:r>
      <w:r w:rsidR="008C76E4">
        <w:rPr>
          <w:rFonts w:asciiTheme="majorHAnsi" w:hAnsiTheme="majorHAnsi"/>
        </w:rPr>
        <w:t>d</w:t>
      </w:r>
      <w:r w:rsidR="00DC1166">
        <w:rPr>
          <w:rFonts w:asciiTheme="majorHAnsi" w:hAnsiTheme="majorHAnsi"/>
        </w:rPr>
        <w:t xml:space="preserve">. However, </w:t>
      </w:r>
      <w:r w:rsidR="008C76E4">
        <w:rPr>
          <w:rFonts w:asciiTheme="majorHAnsi" w:hAnsiTheme="majorHAnsi"/>
        </w:rPr>
        <w:t xml:space="preserve">latrine </w:t>
      </w:r>
      <w:r w:rsidRPr="00C4564E">
        <w:rPr>
          <w:rFonts w:asciiTheme="majorHAnsi" w:hAnsiTheme="majorHAnsi"/>
        </w:rPr>
        <w:t>acces</w:t>
      </w:r>
      <w:r w:rsidR="00B1263B">
        <w:rPr>
          <w:rFonts w:asciiTheme="majorHAnsi" w:hAnsiTheme="majorHAnsi"/>
        </w:rPr>
        <w:t>s wa</w:t>
      </w:r>
      <w:r w:rsidR="008C76E4">
        <w:rPr>
          <w:rFonts w:asciiTheme="majorHAnsi" w:hAnsiTheme="majorHAnsi"/>
        </w:rPr>
        <w:t>s significantly higher in</w:t>
      </w:r>
      <w:r w:rsidRPr="00C4564E">
        <w:rPr>
          <w:rFonts w:asciiTheme="majorHAnsi" w:hAnsiTheme="majorHAnsi"/>
        </w:rPr>
        <w:t xml:space="preserve"> IDP camps </w:t>
      </w:r>
      <w:r w:rsidR="00DC1166">
        <w:rPr>
          <w:rFonts w:asciiTheme="majorHAnsi" w:hAnsiTheme="majorHAnsi"/>
        </w:rPr>
        <w:t xml:space="preserve">(78%) </w:t>
      </w:r>
      <w:r w:rsidRPr="00C4564E">
        <w:rPr>
          <w:rFonts w:asciiTheme="majorHAnsi" w:hAnsiTheme="majorHAnsi"/>
        </w:rPr>
        <w:t>than in the villages</w:t>
      </w:r>
      <w:r w:rsidR="00DC1166">
        <w:rPr>
          <w:rFonts w:asciiTheme="majorHAnsi" w:hAnsiTheme="majorHAnsi"/>
        </w:rPr>
        <w:t xml:space="preserve"> (55%)</w:t>
      </w:r>
      <w:r w:rsidRPr="00C4564E">
        <w:rPr>
          <w:rFonts w:asciiTheme="majorHAnsi" w:hAnsiTheme="majorHAnsi"/>
        </w:rPr>
        <w:t xml:space="preserve">. </w:t>
      </w:r>
      <w:r w:rsidR="00B125AF">
        <w:rPr>
          <w:rFonts w:asciiTheme="majorHAnsi" w:hAnsiTheme="majorHAnsi"/>
        </w:rPr>
        <w:t>Villagers stated the main reason for the low coverage of latrines is that they are unable to afford them (67%). Howev</w:t>
      </w:r>
      <w:r w:rsidR="007342C9">
        <w:rPr>
          <w:rFonts w:asciiTheme="majorHAnsi" w:hAnsiTheme="majorHAnsi"/>
        </w:rPr>
        <w:t xml:space="preserve">er, this is unlikely to be </w:t>
      </w:r>
      <w:proofErr w:type="gramStart"/>
      <w:r w:rsidR="007342C9">
        <w:rPr>
          <w:rFonts w:asciiTheme="majorHAnsi" w:hAnsiTheme="majorHAnsi"/>
        </w:rPr>
        <w:t>their</w:t>
      </w:r>
      <w:proofErr w:type="gramEnd"/>
      <w:r w:rsidR="00B125AF">
        <w:rPr>
          <w:rFonts w:asciiTheme="majorHAnsi" w:hAnsiTheme="majorHAnsi"/>
        </w:rPr>
        <w:t xml:space="preserve"> only reasons and may well be connected to habitual practices and not recognizing the health risks associated with open defecation.</w:t>
      </w:r>
    </w:p>
    <w:p w14:paraId="688CACBB" w14:textId="77777777" w:rsidR="00B1263B" w:rsidRDefault="00B1263B" w:rsidP="008C76E4">
      <w:pPr>
        <w:jc w:val="both"/>
        <w:rPr>
          <w:rFonts w:asciiTheme="majorHAnsi" w:hAnsiTheme="majorHAnsi"/>
        </w:rPr>
      </w:pPr>
    </w:p>
    <w:p w14:paraId="46132925" w14:textId="5C50183F" w:rsidR="007904A0" w:rsidRPr="00C4564E" w:rsidRDefault="00B1263B" w:rsidP="008C76E4">
      <w:pPr>
        <w:jc w:val="both"/>
        <w:rPr>
          <w:rFonts w:asciiTheme="majorHAnsi" w:hAnsiTheme="majorHAnsi"/>
        </w:rPr>
      </w:pPr>
      <w:r>
        <w:rPr>
          <w:rFonts w:asciiTheme="majorHAnsi" w:hAnsiTheme="majorHAnsi"/>
        </w:rPr>
        <w:t xml:space="preserve">Given the fact that </w:t>
      </w:r>
      <w:r w:rsidR="00F83FDE">
        <w:rPr>
          <w:rFonts w:asciiTheme="majorHAnsi" w:hAnsiTheme="majorHAnsi"/>
        </w:rPr>
        <w:t>despite having access to latrines, there remains a high prevalence of open defecation as confirmed by field observations, r</w:t>
      </w:r>
      <w:r w:rsidR="008C76E4">
        <w:rPr>
          <w:rFonts w:asciiTheme="majorHAnsi" w:hAnsiTheme="majorHAnsi"/>
        </w:rPr>
        <w:t xml:space="preserve">espondents were asked </w:t>
      </w:r>
      <w:r w:rsidR="00F83FDE">
        <w:rPr>
          <w:rFonts w:asciiTheme="majorHAnsi" w:hAnsiTheme="majorHAnsi"/>
        </w:rPr>
        <w:t>why people continue to practice open defecation. In the IDP camps, respondents were less willing to comment with 37% choosing not to answer the question. Those that did</w:t>
      </w:r>
      <w:r w:rsidR="007342C9">
        <w:rPr>
          <w:rFonts w:asciiTheme="majorHAnsi" w:hAnsiTheme="majorHAnsi"/>
        </w:rPr>
        <w:t>,</w:t>
      </w:r>
      <w:r w:rsidR="00F83FDE">
        <w:rPr>
          <w:rFonts w:asciiTheme="majorHAnsi" w:hAnsiTheme="majorHAnsi"/>
        </w:rPr>
        <w:t xml:space="preserve"> claimed the main reason to be damaged or non-functioning latrines (40%) whilst 29% indicated that people prefer open defecation stating that it was either their habitual practice or that latrine use was not in their culture. Very few respondents commented about latrines being claustrophobic, smelling bad or of being full of flies and mosquitos. </w:t>
      </w:r>
    </w:p>
    <w:p w14:paraId="180DAB11" w14:textId="7E720EEE" w:rsidR="00DA147A" w:rsidRDefault="00DC1166" w:rsidP="00254C55">
      <w:pPr>
        <w:spacing w:after="120"/>
        <w:rPr>
          <w:sz w:val="20"/>
          <w:szCs w:val="20"/>
        </w:rPr>
      </w:pPr>
      <w:r>
        <w:rPr>
          <w:noProof/>
          <w:lang w:val="en-US"/>
        </w:rPr>
        <w:drawing>
          <wp:anchor distT="0" distB="0" distL="114300" distR="114300" simplePos="0" relativeHeight="251720704" behindDoc="0" locked="0" layoutInCell="1" allowOverlap="1" wp14:anchorId="048B6619" wp14:editId="6A70B0CF">
            <wp:simplePos x="0" y="0"/>
            <wp:positionH relativeFrom="column">
              <wp:posOffset>2628900</wp:posOffset>
            </wp:positionH>
            <wp:positionV relativeFrom="paragraph">
              <wp:posOffset>48260</wp:posOffset>
            </wp:positionV>
            <wp:extent cx="3538220" cy="2527935"/>
            <wp:effectExtent l="0" t="0" r="0" b="12065"/>
            <wp:wrapSquare wrapText="bothSides"/>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14:paraId="3F09811A" w14:textId="3253BBF5" w:rsidR="00DA6A14" w:rsidRDefault="00B125AF" w:rsidP="00254C55">
      <w:pPr>
        <w:spacing w:after="120"/>
        <w:rPr>
          <w:sz w:val="20"/>
          <w:szCs w:val="20"/>
        </w:rPr>
      </w:pPr>
      <w:r>
        <w:rPr>
          <w:noProof/>
          <w:lang w:val="en-US"/>
        </w:rPr>
        <w:drawing>
          <wp:inline distT="0" distB="0" distL="0" distR="0" wp14:anchorId="515E6252" wp14:editId="64BF9240">
            <wp:extent cx="2743200" cy="2349500"/>
            <wp:effectExtent l="0" t="0" r="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741ABA0" w14:textId="77777777" w:rsidR="00DC1166" w:rsidRPr="00F520C2" w:rsidRDefault="00DC1166" w:rsidP="00254C55">
      <w:pPr>
        <w:spacing w:after="120"/>
        <w:rPr>
          <w:sz w:val="4"/>
          <w:szCs w:val="4"/>
        </w:rPr>
      </w:pPr>
    </w:p>
    <w:p w14:paraId="4D61E5B4" w14:textId="681E5BBD" w:rsidR="00DC1166" w:rsidRDefault="00CA7F2D" w:rsidP="00CA7F2D">
      <w:pPr>
        <w:spacing w:after="120"/>
        <w:jc w:val="both"/>
        <w:rPr>
          <w:rFonts w:asciiTheme="majorHAnsi" w:hAnsiTheme="majorHAnsi"/>
        </w:rPr>
      </w:pPr>
      <w:r w:rsidRPr="00CA7F2D">
        <w:rPr>
          <w:rFonts w:asciiTheme="majorHAnsi" w:hAnsiTheme="majorHAnsi"/>
        </w:rPr>
        <w:t>Defecation practices differ at night for 39% of respondent households</w:t>
      </w:r>
      <w:r>
        <w:rPr>
          <w:rFonts w:asciiTheme="majorHAnsi" w:hAnsiTheme="majorHAnsi"/>
        </w:rPr>
        <w:t>, particularly for the elderly as reported by 13% and for adult women (15%)</w:t>
      </w:r>
      <w:r w:rsidRPr="00CA7F2D">
        <w:rPr>
          <w:rFonts w:asciiTheme="majorHAnsi" w:hAnsiTheme="majorHAnsi"/>
        </w:rPr>
        <w:t xml:space="preserve">. </w:t>
      </w:r>
      <w:r w:rsidR="00F520C2">
        <w:rPr>
          <w:rFonts w:asciiTheme="majorHAnsi" w:hAnsiTheme="majorHAnsi"/>
        </w:rPr>
        <w:t>Two thirds of respondents</w:t>
      </w:r>
      <w:r w:rsidRPr="00CA7F2D">
        <w:rPr>
          <w:rFonts w:asciiTheme="majorHAnsi" w:hAnsiTheme="majorHAnsi"/>
        </w:rPr>
        <w:t xml:space="preserve"> </w:t>
      </w:r>
      <w:r w:rsidR="00F520C2">
        <w:rPr>
          <w:rFonts w:asciiTheme="majorHAnsi" w:hAnsiTheme="majorHAnsi"/>
        </w:rPr>
        <w:t>reporting</w:t>
      </w:r>
      <w:r>
        <w:rPr>
          <w:rFonts w:asciiTheme="majorHAnsi" w:hAnsiTheme="majorHAnsi"/>
        </w:rPr>
        <w:t xml:space="preserve"> changes</w:t>
      </w:r>
      <w:r w:rsidR="00F520C2">
        <w:rPr>
          <w:rFonts w:asciiTheme="majorHAnsi" w:hAnsiTheme="majorHAnsi"/>
        </w:rPr>
        <w:t>, mentioned defecation within the household by either using a child’s p</w:t>
      </w:r>
      <w:r w:rsidR="00C8092C">
        <w:rPr>
          <w:rFonts w:asciiTheme="majorHAnsi" w:hAnsiTheme="majorHAnsi"/>
        </w:rPr>
        <w:t>otty</w:t>
      </w:r>
      <w:r w:rsidR="007342C9">
        <w:rPr>
          <w:rFonts w:asciiTheme="majorHAnsi" w:hAnsiTheme="majorHAnsi"/>
        </w:rPr>
        <w:t>, a</w:t>
      </w:r>
      <w:r w:rsidR="00C8092C">
        <w:rPr>
          <w:rFonts w:asciiTheme="majorHAnsi" w:hAnsiTheme="majorHAnsi"/>
        </w:rPr>
        <w:t xml:space="preserve"> bedpan or by night soil</w:t>
      </w:r>
      <w:r w:rsidR="00F520C2">
        <w:rPr>
          <w:rFonts w:asciiTheme="majorHAnsi" w:hAnsiTheme="majorHAnsi"/>
        </w:rPr>
        <w:t xml:space="preserve"> </w:t>
      </w:r>
      <w:r w:rsidR="00C8092C">
        <w:rPr>
          <w:rFonts w:asciiTheme="majorHAnsi" w:hAnsiTheme="majorHAnsi"/>
        </w:rPr>
        <w:t>(</w:t>
      </w:r>
      <w:r w:rsidR="00F520C2">
        <w:rPr>
          <w:rFonts w:asciiTheme="majorHAnsi" w:hAnsiTheme="majorHAnsi"/>
        </w:rPr>
        <w:t>collection in a plastic bag</w:t>
      </w:r>
      <w:r w:rsidR="00C8092C">
        <w:rPr>
          <w:rFonts w:asciiTheme="majorHAnsi" w:hAnsiTheme="majorHAnsi"/>
        </w:rPr>
        <w:t xml:space="preserve">) while a further 23% </w:t>
      </w:r>
      <w:r w:rsidR="007342C9">
        <w:rPr>
          <w:rFonts w:asciiTheme="majorHAnsi" w:hAnsiTheme="majorHAnsi"/>
        </w:rPr>
        <w:t xml:space="preserve">change to </w:t>
      </w:r>
      <w:r w:rsidR="00C8092C">
        <w:rPr>
          <w:rFonts w:asciiTheme="majorHAnsi" w:hAnsiTheme="majorHAnsi"/>
        </w:rPr>
        <w:t>use a latrine at night</w:t>
      </w:r>
      <w:r w:rsidR="00F520C2">
        <w:rPr>
          <w:rFonts w:asciiTheme="majorHAnsi" w:hAnsiTheme="majorHAnsi"/>
        </w:rPr>
        <w:t>.</w:t>
      </w:r>
      <w:r w:rsidR="00B65E0B">
        <w:rPr>
          <w:rFonts w:asciiTheme="majorHAnsi" w:hAnsiTheme="majorHAnsi"/>
        </w:rPr>
        <w:t xml:space="preserve"> </w:t>
      </w:r>
      <w:r w:rsidR="00F520C2">
        <w:rPr>
          <w:rFonts w:asciiTheme="majorHAnsi" w:hAnsiTheme="majorHAnsi"/>
        </w:rPr>
        <w:t xml:space="preserve"> </w:t>
      </w:r>
    </w:p>
    <w:p w14:paraId="1B5A3B6B" w14:textId="77777777" w:rsidR="00B65E0B" w:rsidRPr="00B65E0B" w:rsidRDefault="00B65E0B" w:rsidP="00CA7F2D">
      <w:pPr>
        <w:spacing w:after="120"/>
        <w:jc w:val="both"/>
        <w:rPr>
          <w:rFonts w:asciiTheme="majorHAnsi" w:hAnsiTheme="majorHAnsi"/>
          <w:sz w:val="8"/>
          <w:szCs w:val="8"/>
        </w:rPr>
      </w:pPr>
    </w:p>
    <w:p w14:paraId="021C5E73" w14:textId="1692051E" w:rsidR="00DC1166" w:rsidRDefault="00B125AF" w:rsidP="008C76E4">
      <w:pPr>
        <w:spacing w:after="120"/>
        <w:rPr>
          <w:sz w:val="20"/>
          <w:szCs w:val="20"/>
        </w:rPr>
      </w:pPr>
      <w:r>
        <w:rPr>
          <w:noProof/>
          <w:lang w:val="en-US"/>
        </w:rPr>
        <w:drawing>
          <wp:inline distT="0" distB="0" distL="0" distR="0" wp14:anchorId="3309F106" wp14:editId="61C3D41E">
            <wp:extent cx="2743200" cy="2175510"/>
            <wp:effectExtent l="0" t="0" r="0" b="889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CA7F2D">
        <w:rPr>
          <w:noProof/>
          <w:lang w:val="en-US"/>
        </w:rPr>
        <w:drawing>
          <wp:inline distT="0" distB="0" distL="0" distR="0" wp14:anchorId="7ADB1282" wp14:editId="54DEEE90">
            <wp:extent cx="3200400" cy="2163233"/>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2CE8EAA" w14:textId="20D86BCB" w:rsidR="00D334FB" w:rsidRDefault="00A5596F" w:rsidP="008C76E4">
      <w:pPr>
        <w:spacing w:after="120"/>
        <w:rPr>
          <w:sz w:val="20"/>
          <w:szCs w:val="20"/>
        </w:rPr>
      </w:pPr>
      <w:r>
        <w:rPr>
          <w:noProof/>
          <w:lang w:val="en-US"/>
        </w:rPr>
        <w:drawing>
          <wp:anchor distT="0" distB="0" distL="114300" distR="114300" simplePos="0" relativeHeight="251722752" behindDoc="0" locked="0" layoutInCell="1" allowOverlap="1" wp14:anchorId="1EF6D66D" wp14:editId="29AC1680">
            <wp:simplePos x="0" y="0"/>
            <wp:positionH relativeFrom="column">
              <wp:posOffset>3086100</wp:posOffset>
            </wp:positionH>
            <wp:positionV relativeFrom="paragraph">
              <wp:posOffset>109220</wp:posOffset>
            </wp:positionV>
            <wp:extent cx="3081020" cy="2743200"/>
            <wp:effectExtent l="0" t="0" r="0" b="0"/>
            <wp:wrapSquare wrapText="bothSides"/>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p>
    <w:p w14:paraId="2943EA59" w14:textId="5254F8C4" w:rsidR="00D334FB" w:rsidRDefault="00B65E0B" w:rsidP="00B65E0B">
      <w:pPr>
        <w:spacing w:after="120"/>
        <w:jc w:val="both"/>
        <w:rPr>
          <w:rFonts w:asciiTheme="majorHAnsi" w:hAnsiTheme="majorHAnsi"/>
        </w:rPr>
      </w:pPr>
      <w:r>
        <w:rPr>
          <w:rFonts w:asciiTheme="majorHAnsi" w:hAnsiTheme="majorHAnsi"/>
        </w:rPr>
        <w:t xml:space="preserve">The primary reason for these changes </w:t>
      </w:r>
      <w:r w:rsidR="00A5596F">
        <w:rPr>
          <w:rFonts w:asciiTheme="majorHAnsi" w:hAnsiTheme="majorHAnsi"/>
        </w:rPr>
        <w:t xml:space="preserve">according to focus group discussions is </w:t>
      </w:r>
      <w:r>
        <w:rPr>
          <w:rFonts w:asciiTheme="majorHAnsi" w:hAnsiTheme="majorHAnsi"/>
        </w:rPr>
        <w:t>fear</w:t>
      </w:r>
      <w:r w:rsidR="00C8092C">
        <w:rPr>
          <w:rFonts w:asciiTheme="majorHAnsi" w:hAnsiTheme="majorHAnsi"/>
        </w:rPr>
        <w:t>; fear of meeting</w:t>
      </w:r>
      <w:r w:rsidR="00A5596F">
        <w:rPr>
          <w:rFonts w:asciiTheme="majorHAnsi" w:hAnsiTheme="majorHAnsi"/>
        </w:rPr>
        <w:t xml:space="preserve"> someone, fear of attack or a fear of ghosts</w:t>
      </w:r>
      <w:r>
        <w:rPr>
          <w:rFonts w:asciiTheme="majorHAnsi" w:hAnsiTheme="majorHAnsi"/>
        </w:rPr>
        <w:t>. In the IDP camps</w:t>
      </w:r>
      <w:r w:rsidR="00C8092C">
        <w:rPr>
          <w:rFonts w:asciiTheme="majorHAnsi" w:hAnsiTheme="majorHAnsi"/>
        </w:rPr>
        <w:t>,</w:t>
      </w:r>
      <w:r>
        <w:rPr>
          <w:rFonts w:asciiTheme="majorHAnsi" w:hAnsiTheme="majorHAnsi"/>
        </w:rPr>
        <w:t xml:space="preserve"> 34% said they did not feel safe whilst 25% complained of the dark and 23% reported </w:t>
      </w:r>
      <w:r w:rsidR="00C8092C">
        <w:rPr>
          <w:rFonts w:asciiTheme="majorHAnsi" w:hAnsiTheme="majorHAnsi"/>
        </w:rPr>
        <w:t>difficulties in access</w:t>
      </w:r>
      <w:r>
        <w:rPr>
          <w:rFonts w:asciiTheme="majorHAnsi" w:hAnsiTheme="majorHAnsi"/>
        </w:rPr>
        <w:t xml:space="preserve">. In the villages, </w:t>
      </w:r>
      <w:r w:rsidR="00C8092C">
        <w:rPr>
          <w:rFonts w:asciiTheme="majorHAnsi" w:hAnsiTheme="majorHAnsi"/>
        </w:rPr>
        <w:t>the</w:t>
      </w:r>
      <w:r>
        <w:rPr>
          <w:rFonts w:asciiTheme="majorHAnsi" w:hAnsiTheme="majorHAnsi"/>
        </w:rPr>
        <w:t xml:space="preserve"> fear of meeting other people</w:t>
      </w:r>
      <w:r w:rsidR="00C8092C">
        <w:rPr>
          <w:rFonts w:asciiTheme="majorHAnsi" w:hAnsiTheme="majorHAnsi"/>
        </w:rPr>
        <w:t xml:space="preserve"> was the most popular reason </w:t>
      </w:r>
      <w:r>
        <w:rPr>
          <w:rFonts w:asciiTheme="majorHAnsi" w:hAnsiTheme="majorHAnsi"/>
        </w:rPr>
        <w:t xml:space="preserve">(33%) </w:t>
      </w:r>
      <w:r w:rsidR="00C8092C">
        <w:rPr>
          <w:rFonts w:asciiTheme="majorHAnsi" w:hAnsiTheme="majorHAnsi"/>
        </w:rPr>
        <w:t xml:space="preserve">as well as </w:t>
      </w:r>
      <w:r>
        <w:rPr>
          <w:rFonts w:asciiTheme="majorHAnsi" w:hAnsiTheme="majorHAnsi"/>
        </w:rPr>
        <w:t>a general feeling in insecurity (24%).</w:t>
      </w:r>
    </w:p>
    <w:p w14:paraId="016F1A84" w14:textId="6BBB7593" w:rsidR="00262ABB" w:rsidRDefault="00C8092C" w:rsidP="00B65E0B">
      <w:pPr>
        <w:spacing w:after="120"/>
        <w:jc w:val="both"/>
        <w:rPr>
          <w:rFonts w:asciiTheme="majorHAnsi" w:hAnsiTheme="majorHAnsi"/>
        </w:rPr>
      </w:pPr>
      <w:r>
        <w:rPr>
          <w:rFonts w:asciiTheme="majorHAnsi" w:hAnsiTheme="majorHAnsi"/>
        </w:rPr>
        <w:t>To improve security</w:t>
      </w:r>
      <w:r w:rsidR="00A5596F">
        <w:rPr>
          <w:rFonts w:asciiTheme="majorHAnsi" w:hAnsiTheme="majorHAnsi"/>
        </w:rPr>
        <w:t xml:space="preserve">, </w:t>
      </w:r>
      <w:r>
        <w:rPr>
          <w:rFonts w:asciiTheme="majorHAnsi" w:hAnsiTheme="majorHAnsi"/>
        </w:rPr>
        <w:t>increase convenience</w:t>
      </w:r>
      <w:r w:rsidR="00A5596F">
        <w:rPr>
          <w:rFonts w:asciiTheme="majorHAnsi" w:hAnsiTheme="majorHAnsi"/>
        </w:rPr>
        <w:t xml:space="preserve"> and promote </w:t>
      </w:r>
      <w:proofErr w:type="gramStart"/>
      <w:r w:rsidR="00262ABB">
        <w:rPr>
          <w:rFonts w:asciiTheme="majorHAnsi" w:hAnsiTheme="majorHAnsi"/>
        </w:rPr>
        <w:t>night-time</w:t>
      </w:r>
      <w:proofErr w:type="gramEnd"/>
      <w:r w:rsidR="00A5596F">
        <w:rPr>
          <w:rFonts w:asciiTheme="majorHAnsi" w:hAnsiTheme="majorHAnsi"/>
        </w:rPr>
        <w:t xml:space="preserve"> latrine use, pilot projects to install solar lighting have recently been implemented in 3 IDP camps in the target area. During the assessment, field visits were made to two of these locations: BaSaRa IDP camps which is</w:t>
      </w:r>
      <w:r w:rsidR="007342C9">
        <w:rPr>
          <w:rFonts w:asciiTheme="majorHAnsi" w:hAnsiTheme="majorHAnsi"/>
        </w:rPr>
        <w:t xml:space="preserve"> a relatively small camp of 52 t</w:t>
      </w:r>
      <w:r w:rsidR="00A5596F">
        <w:rPr>
          <w:rFonts w:asciiTheme="majorHAnsi" w:hAnsiTheme="majorHAnsi"/>
        </w:rPr>
        <w:t>emporary shelters relatively isolated from the main population near to Sittwe airport and Ohn Taw Gyi North, one of the largest IDPs in the area. As the solar lighting was only installed 4 or 5 we</w:t>
      </w:r>
      <w:r w:rsidR="00262ABB">
        <w:rPr>
          <w:rFonts w:asciiTheme="majorHAnsi" w:hAnsiTheme="majorHAnsi"/>
        </w:rPr>
        <w:t>eks prior to the KAP survey,</w:t>
      </w:r>
      <w:r w:rsidR="00A5596F">
        <w:rPr>
          <w:rFonts w:asciiTheme="majorHAnsi" w:hAnsiTheme="majorHAnsi"/>
        </w:rPr>
        <w:t xml:space="preserve"> systems are still functioning effectively with no reports of battery theft or </w:t>
      </w:r>
      <w:r w:rsidR="00262ABB">
        <w:rPr>
          <w:rFonts w:asciiTheme="majorHAnsi" w:hAnsiTheme="majorHAnsi"/>
        </w:rPr>
        <w:t>vandalism</w:t>
      </w:r>
      <w:r w:rsidR="00A5596F">
        <w:rPr>
          <w:rFonts w:asciiTheme="majorHAnsi" w:hAnsiTheme="majorHAnsi"/>
        </w:rPr>
        <w:t xml:space="preserve"> as was the case in 2013</w:t>
      </w:r>
      <w:r w:rsidR="00262ABB">
        <w:rPr>
          <w:rFonts w:asciiTheme="majorHAnsi" w:hAnsiTheme="majorHAnsi"/>
        </w:rPr>
        <w:t>,</w:t>
      </w:r>
      <w:r w:rsidR="00A5596F">
        <w:rPr>
          <w:rFonts w:asciiTheme="majorHAnsi" w:hAnsiTheme="majorHAnsi"/>
        </w:rPr>
        <w:t xml:space="preserve"> when the Consortium of Dutch NGOs (CDN)</w:t>
      </w:r>
      <w:r w:rsidR="00262ABB">
        <w:rPr>
          <w:rFonts w:asciiTheme="majorHAnsi" w:hAnsiTheme="majorHAnsi"/>
        </w:rPr>
        <w:t xml:space="preserve">, a partner of the DfID consortium in </w:t>
      </w:r>
      <w:r w:rsidR="007342C9">
        <w:rPr>
          <w:rFonts w:asciiTheme="majorHAnsi" w:hAnsiTheme="majorHAnsi"/>
        </w:rPr>
        <w:t>an earlier phase</w:t>
      </w:r>
      <w:r w:rsidR="00262ABB">
        <w:rPr>
          <w:rFonts w:asciiTheme="majorHAnsi" w:hAnsiTheme="majorHAnsi"/>
        </w:rPr>
        <w:t xml:space="preserve"> of the </w:t>
      </w:r>
      <w:r w:rsidR="007342C9">
        <w:rPr>
          <w:rFonts w:asciiTheme="majorHAnsi" w:hAnsiTheme="majorHAnsi"/>
        </w:rPr>
        <w:t xml:space="preserve">DfID funded </w:t>
      </w:r>
      <w:r w:rsidR="00262ABB">
        <w:rPr>
          <w:rFonts w:asciiTheme="majorHAnsi" w:hAnsiTheme="majorHAnsi"/>
        </w:rPr>
        <w:t xml:space="preserve">response, installed solar lighting in Ohn Taw Gyi North. </w:t>
      </w:r>
    </w:p>
    <w:p w14:paraId="4C750F96" w14:textId="0C7D300B" w:rsidR="00A5596F" w:rsidRDefault="00262ABB" w:rsidP="00B65E0B">
      <w:pPr>
        <w:spacing w:after="120"/>
        <w:jc w:val="both"/>
        <w:rPr>
          <w:rFonts w:asciiTheme="majorHAnsi" w:hAnsiTheme="majorHAnsi"/>
        </w:rPr>
      </w:pPr>
      <w:r>
        <w:rPr>
          <w:rFonts w:asciiTheme="majorHAnsi" w:hAnsiTheme="majorHAnsi"/>
        </w:rPr>
        <w:t xml:space="preserve">Feedback from informal interviews and focus group discussions in both camps </w:t>
      </w:r>
      <w:r w:rsidR="00E66497">
        <w:rPr>
          <w:rFonts w:asciiTheme="majorHAnsi" w:hAnsiTheme="majorHAnsi"/>
        </w:rPr>
        <w:t>revealed a high level of user satisfaction with the project. However, the lighting has caused some jealousy from households that do not benefit from lighting close to their temporary shelter.</w:t>
      </w:r>
      <w:r>
        <w:rPr>
          <w:rFonts w:asciiTheme="majorHAnsi" w:hAnsiTheme="majorHAnsi"/>
        </w:rPr>
        <w:t xml:space="preserve"> </w:t>
      </w:r>
    </w:p>
    <w:p w14:paraId="67B7AEDE" w14:textId="77777777" w:rsidR="001C1EEC" w:rsidRDefault="001C1EEC" w:rsidP="00254C55">
      <w:pPr>
        <w:spacing w:after="120"/>
        <w:rPr>
          <w:rFonts w:asciiTheme="majorHAnsi" w:hAnsiTheme="majorHAnsi"/>
        </w:rPr>
      </w:pPr>
    </w:p>
    <w:p w14:paraId="0CBC66C6" w14:textId="6AF79D3D" w:rsidR="001C1EEC" w:rsidRDefault="009F2380" w:rsidP="009F2380">
      <w:pPr>
        <w:spacing w:after="120"/>
        <w:jc w:val="both"/>
        <w:rPr>
          <w:rFonts w:asciiTheme="majorHAnsi" w:hAnsiTheme="majorHAnsi"/>
        </w:rPr>
      </w:pPr>
      <w:r>
        <w:rPr>
          <w:rFonts w:asciiTheme="majorHAnsi" w:hAnsiTheme="majorHAnsi"/>
        </w:rPr>
        <w:t>Informal interviews and focus</w:t>
      </w:r>
      <w:r w:rsidR="00932FF4">
        <w:rPr>
          <w:rFonts w:asciiTheme="majorHAnsi" w:hAnsiTheme="majorHAnsi"/>
        </w:rPr>
        <w:t xml:space="preserve"> group discussions revealed</w:t>
      </w:r>
      <w:r>
        <w:rPr>
          <w:rFonts w:asciiTheme="majorHAnsi" w:hAnsiTheme="majorHAnsi"/>
        </w:rPr>
        <w:t xml:space="preserve"> respondents are not aware </w:t>
      </w:r>
      <w:r w:rsidR="00932FF4">
        <w:rPr>
          <w:rFonts w:asciiTheme="majorHAnsi" w:hAnsiTheme="majorHAnsi"/>
        </w:rPr>
        <w:t xml:space="preserve">of the dangers posed by infant </w:t>
      </w:r>
      <w:r>
        <w:rPr>
          <w:rFonts w:asciiTheme="majorHAnsi" w:hAnsiTheme="majorHAnsi"/>
        </w:rPr>
        <w:t>faeces</w:t>
      </w:r>
      <w:r w:rsidR="00932FF4">
        <w:rPr>
          <w:rFonts w:asciiTheme="majorHAnsi" w:hAnsiTheme="majorHAnsi"/>
        </w:rPr>
        <w:t xml:space="preserve">. </w:t>
      </w:r>
      <w:r>
        <w:rPr>
          <w:rFonts w:asciiTheme="majorHAnsi" w:hAnsiTheme="majorHAnsi"/>
        </w:rPr>
        <w:t>Respondents and hygiene promoters were of the opinion, that as young children are often breastfed or eat simple foods, that their faeces are relatively safer</w:t>
      </w:r>
      <w:r w:rsidR="00932FF4">
        <w:rPr>
          <w:rFonts w:asciiTheme="majorHAnsi" w:hAnsiTheme="majorHAnsi"/>
        </w:rPr>
        <w:t xml:space="preserve"> than adults when in actual fact they pose considerably higher health risks</w:t>
      </w:r>
      <w:r>
        <w:rPr>
          <w:rFonts w:asciiTheme="majorHAnsi" w:hAnsiTheme="majorHAnsi"/>
        </w:rPr>
        <w:t xml:space="preserve">. </w:t>
      </w:r>
      <w:r w:rsidR="00932FF4">
        <w:rPr>
          <w:rFonts w:asciiTheme="majorHAnsi" w:hAnsiTheme="majorHAnsi"/>
        </w:rPr>
        <w:t xml:space="preserve">Soft infant </w:t>
      </w:r>
      <w:r>
        <w:rPr>
          <w:rFonts w:asciiTheme="majorHAnsi" w:hAnsiTheme="majorHAnsi"/>
        </w:rPr>
        <w:t>faeces</w:t>
      </w:r>
      <w:r w:rsidR="00932FF4">
        <w:rPr>
          <w:rFonts w:asciiTheme="majorHAnsi" w:hAnsiTheme="majorHAnsi"/>
        </w:rPr>
        <w:t xml:space="preserve"> are usually </w:t>
      </w:r>
      <w:r>
        <w:rPr>
          <w:rFonts w:asciiTheme="majorHAnsi" w:hAnsiTheme="majorHAnsi"/>
        </w:rPr>
        <w:t xml:space="preserve">rinsed through the </w:t>
      </w:r>
      <w:r w:rsidR="00932FF4">
        <w:rPr>
          <w:rFonts w:asciiTheme="majorHAnsi" w:hAnsiTheme="majorHAnsi"/>
        </w:rPr>
        <w:t xml:space="preserve">gaps in the floor with water only. Soap is generally not considered necessary. </w:t>
      </w:r>
    </w:p>
    <w:p w14:paraId="13233077" w14:textId="5EDB4D1E" w:rsidR="009F2380" w:rsidRDefault="009F2380" w:rsidP="00254C55">
      <w:pPr>
        <w:spacing w:after="120"/>
        <w:rPr>
          <w:sz w:val="20"/>
          <w:szCs w:val="20"/>
        </w:rPr>
      </w:pPr>
      <w:r>
        <w:rPr>
          <w:noProof/>
          <w:lang w:val="en-US"/>
        </w:rPr>
        <w:drawing>
          <wp:anchor distT="0" distB="0" distL="114300" distR="114300" simplePos="0" relativeHeight="251701248" behindDoc="0" locked="0" layoutInCell="1" allowOverlap="1" wp14:anchorId="6F3F3D1D" wp14:editId="1E2A6C44">
            <wp:simplePos x="0" y="0"/>
            <wp:positionH relativeFrom="column">
              <wp:posOffset>3771900</wp:posOffset>
            </wp:positionH>
            <wp:positionV relativeFrom="paragraph">
              <wp:posOffset>127000</wp:posOffset>
            </wp:positionV>
            <wp:extent cx="2623820" cy="2850515"/>
            <wp:effectExtent l="0" t="0" r="0" b="0"/>
            <wp:wrapNone/>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p>
    <w:p w14:paraId="16CF7FAF" w14:textId="0D5A5E2B" w:rsidR="00DA147A" w:rsidRDefault="00DA147A" w:rsidP="00254C55">
      <w:pPr>
        <w:spacing w:after="120"/>
        <w:rPr>
          <w:sz w:val="20"/>
          <w:szCs w:val="20"/>
        </w:rPr>
      </w:pPr>
    </w:p>
    <w:p w14:paraId="31620B1B" w14:textId="18F5C079" w:rsidR="00DA147A" w:rsidRDefault="001C1EEC" w:rsidP="00254C55">
      <w:pPr>
        <w:spacing w:after="120"/>
        <w:rPr>
          <w:sz w:val="20"/>
          <w:szCs w:val="20"/>
        </w:rPr>
      </w:pPr>
      <w:r>
        <w:rPr>
          <w:noProof/>
          <w:lang w:val="en-US"/>
        </w:rPr>
        <w:drawing>
          <wp:inline distT="0" distB="0" distL="0" distR="0" wp14:anchorId="7A6E0EE4" wp14:editId="0774B19A">
            <wp:extent cx="3657600" cy="21844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950DCEF" w14:textId="75E46B9E" w:rsidR="00DA147A" w:rsidRDefault="00DA147A" w:rsidP="00254C55">
      <w:pPr>
        <w:spacing w:after="120"/>
        <w:rPr>
          <w:sz w:val="20"/>
          <w:szCs w:val="20"/>
        </w:rPr>
      </w:pPr>
    </w:p>
    <w:p w14:paraId="4E38734C" w14:textId="4384D0A9" w:rsidR="00DA147A" w:rsidRDefault="00932FF4" w:rsidP="00932FF4">
      <w:pPr>
        <w:spacing w:after="120"/>
        <w:jc w:val="both"/>
        <w:rPr>
          <w:rFonts w:asciiTheme="majorHAnsi" w:hAnsiTheme="majorHAnsi"/>
        </w:rPr>
      </w:pPr>
      <w:r w:rsidRPr="00932FF4">
        <w:rPr>
          <w:rFonts w:asciiTheme="majorHAnsi" w:hAnsiTheme="majorHAnsi"/>
        </w:rPr>
        <w:t>For the dis</w:t>
      </w:r>
      <w:r w:rsidR="007342C9">
        <w:rPr>
          <w:rFonts w:asciiTheme="majorHAnsi" w:hAnsiTheme="majorHAnsi"/>
        </w:rPr>
        <w:t>posal of solid infant faeces, 39</w:t>
      </w:r>
      <w:r w:rsidRPr="00932FF4">
        <w:rPr>
          <w:rFonts w:asciiTheme="majorHAnsi" w:hAnsiTheme="majorHAnsi"/>
        </w:rPr>
        <w:t>% of the 174 respondents with infants reported throwing them into the fields. However, close to half of the respondents with infants claimed to dispose of infant faeces in a hygienic manner (45%) by either disposing of them a latrine (28%), burying them (13%) or throwing them into waste bins for collection and disposal</w:t>
      </w:r>
      <w:r w:rsidR="007342C9">
        <w:rPr>
          <w:rFonts w:asciiTheme="majorHAnsi" w:hAnsiTheme="majorHAnsi"/>
        </w:rPr>
        <w:t xml:space="preserve"> (4%)</w:t>
      </w:r>
      <w:r w:rsidRPr="00932FF4">
        <w:rPr>
          <w:rFonts w:asciiTheme="majorHAnsi" w:hAnsiTheme="majorHAnsi"/>
        </w:rPr>
        <w:t xml:space="preserve">. </w:t>
      </w:r>
    </w:p>
    <w:p w14:paraId="72053C99" w14:textId="77777777" w:rsidR="00932FF4" w:rsidRDefault="00932FF4" w:rsidP="00932FF4">
      <w:pPr>
        <w:spacing w:after="120"/>
        <w:jc w:val="both"/>
        <w:rPr>
          <w:rFonts w:asciiTheme="majorHAnsi" w:hAnsiTheme="majorHAnsi"/>
        </w:rPr>
      </w:pPr>
    </w:p>
    <w:p w14:paraId="25AE9326" w14:textId="77777777" w:rsidR="00AF3DAE" w:rsidRDefault="00AF3DAE" w:rsidP="00254C55">
      <w:pPr>
        <w:pStyle w:val="Heading2"/>
        <w:spacing w:after="120"/>
        <w:rPr>
          <w:color w:val="548DD4" w:themeColor="text2" w:themeTint="99"/>
          <w:sz w:val="24"/>
          <w:szCs w:val="24"/>
        </w:rPr>
      </w:pPr>
      <w:bookmarkStart w:id="52" w:name="_Toc292703955"/>
      <w:bookmarkStart w:id="53" w:name="_Toc292704173"/>
    </w:p>
    <w:p w14:paraId="430CB4D2" w14:textId="5BA7BFCA" w:rsidR="00254C55" w:rsidRPr="00E64758" w:rsidRDefault="00254C55" w:rsidP="00254C55">
      <w:pPr>
        <w:pStyle w:val="Heading2"/>
        <w:spacing w:after="120"/>
        <w:rPr>
          <w:color w:val="548DD4" w:themeColor="text2" w:themeTint="99"/>
          <w:sz w:val="24"/>
          <w:szCs w:val="24"/>
        </w:rPr>
      </w:pPr>
      <w:bookmarkStart w:id="54" w:name="_Toc294273151"/>
      <w:r w:rsidRPr="00E64758">
        <w:rPr>
          <w:color w:val="548DD4" w:themeColor="text2" w:themeTint="99"/>
          <w:sz w:val="24"/>
          <w:szCs w:val="24"/>
        </w:rPr>
        <w:t>SOLID WASTE DISPOSAL</w:t>
      </w:r>
      <w:bookmarkEnd w:id="52"/>
      <w:bookmarkEnd w:id="53"/>
      <w:bookmarkEnd w:id="54"/>
      <w:r w:rsidRPr="00E64758">
        <w:rPr>
          <w:color w:val="548DD4" w:themeColor="text2" w:themeTint="99"/>
          <w:sz w:val="24"/>
          <w:szCs w:val="24"/>
        </w:rPr>
        <w:t xml:space="preserve"> </w:t>
      </w:r>
    </w:p>
    <w:p w14:paraId="3BB70362" w14:textId="60B986C3" w:rsidR="00254C55" w:rsidRPr="00AF3DAE" w:rsidRDefault="00AF3DAE" w:rsidP="00AF3DAE">
      <w:pPr>
        <w:spacing w:after="120"/>
        <w:jc w:val="both"/>
        <w:rPr>
          <w:rFonts w:asciiTheme="majorHAnsi" w:hAnsiTheme="majorHAnsi"/>
        </w:rPr>
      </w:pPr>
      <w:r w:rsidRPr="00AF3DAE">
        <w:rPr>
          <w:rFonts w:asciiTheme="majorHAnsi" w:hAnsiTheme="majorHAnsi"/>
        </w:rPr>
        <w:t>Solid waste management behaviour</w:t>
      </w:r>
      <w:r>
        <w:rPr>
          <w:rFonts w:asciiTheme="majorHAnsi" w:hAnsiTheme="majorHAnsi"/>
        </w:rPr>
        <w:t>s</w:t>
      </w:r>
      <w:r w:rsidRPr="00AF3DAE">
        <w:rPr>
          <w:rFonts w:asciiTheme="majorHAnsi" w:hAnsiTheme="majorHAnsi"/>
        </w:rPr>
        <w:t xml:space="preserve"> differ considerably between the IDP camps and the villages. </w:t>
      </w:r>
      <w:r>
        <w:rPr>
          <w:rFonts w:asciiTheme="majorHAnsi" w:hAnsiTheme="majorHAnsi"/>
        </w:rPr>
        <w:t xml:space="preserve">Systems established by WASH agencies in the IDP camps appear to be functioning reasonably well with 71% of IDP respondents claiming that they regularly use either the waste collection points established in the camps (58%) or that waste is collected from the household by community workers and disposed of in the collection points (13%).  </w:t>
      </w:r>
    </w:p>
    <w:p w14:paraId="56F1578D" w14:textId="77777777" w:rsidR="00AF3DAE" w:rsidRPr="00254C55" w:rsidRDefault="00AF3DAE" w:rsidP="00254C55">
      <w:pPr>
        <w:spacing w:after="120"/>
        <w:rPr>
          <w:sz w:val="20"/>
          <w:szCs w:val="20"/>
        </w:rPr>
      </w:pPr>
    </w:p>
    <w:p w14:paraId="41088E30" w14:textId="5CEFF6ED" w:rsidR="006E54FD" w:rsidRDefault="00AF3DAE" w:rsidP="00254C55">
      <w:pPr>
        <w:pStyle w:val="Heading2"/>
        <w:spacing w:after="120"/>
        <w:rPr>
          <w:color w:val="548DD4" w:themeColor="text2" w:themeTint="99"/>
          <w:sz w:val="24"/>
          <w:szCs w:val="24"/>
        </w:rPr>
      </w:pPr>
      <w:bookmarkStart w:id="55" w:name="_Toc292703956"/>
      <w:bookmarkStart w:id="56" w:name="_Toc292704174"/>
      <w:r>
        <w:rPr>
          <w:noProof/>
          <w:lang w:val="en-US"/>
        </w:rPr>
        <w:drawing>
          <wp:anchor distT="0" distB="0" distL="114300" distR="114300" simplePos="0" relativeHeight="251723776" behindDoc="0" locked="0" layoutInCell="1" allowOverlap="1" wp14:anchorId="1668A8CC" wp14:editId="0F10F328">
            <wp:simplePos x="0" y="0"/>
            <wp:positionH relativeFrom="column">
              <wp:posOffset>2971800</wp:posOffset>
            </wp:positionH>
            <wp:positionV relativeFrom="paragraph">
              <wp:posOffset>33655</wp:posOffset>
            </wp:positionV>
            <wp:extent cx="3309620" cy="2743200"/>
            <wp:effectExtent l="0" t="0" r="0" b="0"/>
            <wp:wrapNone/>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r w:rsidR="00E16D4A">
        <w:rPr>
          <w:noProof/>
          <w:lang w:val="en-US"/>
        </w:rPr>
        <w:drawing>
          <wp:inline distT="0" distB="0" distL="0" distR="0" wp14:anchorId="71E3FA04" wp14:editId="3A7C83FB">
            <wp:extent cx="3081020" cy="2743200"/>
            <wp:effectExtent l="0" t="0" r="0"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873C8EC" w14:textId="77777777" w:rsidR="00AF3DAE" w:rsidRDefault="00AF3DAE" w:rsidP="00AF3DAE"/>
    <w:p w14:paraId="5E3B5967" w14:textId="77777777" w:rsidR="00AF3DAE" w:rsidRDefault="00AF3DAE" w:rsidP="00AF3DAE">
      <w:pPr>
        <w:rPr>
          <w:rFonts w:asciiTheme="majorHAnsi" w:hAnsiTheme="majorHAnsi"/>
        </w:rPr>
      </w:pPr>
    </w:p>
    <w:p w14:paraId="380ACB77" w14:textId="184D0812" w:rsidR="00AF3DAE" w:rsidRPr="00AF3DAE" w:rsidRDefault="00AF3DAE" w:rsidP="00AF3DAE">
      <w:pPr>
        <w:rPr>
          <w:rFonts w:asciiTheme="majorHAnsi" w:hAnsiTheme="majorHAnsi"/>
        </w:rPr>
      </w:pPr>
      <w:r w:rsidRPr="00AF3DAE">
        <w:rPr>
          <w:rFonts w:asciiTheme="majorHAnsi" w:hAnsiTheme="majorHAnsi"/>
        </w:rPr>
        <w:t xml:space="preserve">Although observation revealed otherwise, 48% of all respondents do not believe solid waste </w:t>
      </w:r>
      <w:r>
        <w:rPr>
          <w:rFonts w:asciiTheme="majorHAnsi" w:hAnsiTheme="majorHAnsi"/>
        </w:rPr>
        <w:t xml:space="preserve">to be </w:t>
      </w:r>
      <w:r w:rsidRPr="00AF3DAE">
        <w:rPr>
          <w:rFonts w:asciiTheme="majorHAnsi" w:hAnsiTheme="majorHAnsi"/>
        </w:rPr>
        <w:t>in a problem in their community</w:t>
      </w:r>
      <w:r>
        <w:rPr>
          <w:rFonts w:asciiTheme="majorHAnsi" w:hAnsiTheme="majorHAnsi"/>
        </w:rPr>
        <w:t xml:space="preserve"> and a further 18% declined to answer the question</w:t>
      </w:r>
      <w:r w:rsidRPr="00AF3DAE">
        <w:rPr>
          <w:rFonts w:asciiTheme="majorHAnsi" w:hAnsiTheme="majorHAnsi"/>
        </w:rPr>
        <w:t>.</w:t>
      </w:r>
      <w:r>
        <w:rPr>
          <w:rFonts w:asciiTheme="majorHAnsi" w:hAnsiTheme="majorHAnsi"/>
        </w:rPr>
        <w:t xml:space="preserve"> </w:t>
      </w:r>
    </w:p>
    <w:p w14:paraId="00438ED9" w14:textId="5A327644" w:rsidR="006E54FD" w:rsidRDefault="006E54FD" w:rsidP="00254C55">
      <w:pPr>
        <w:pStyle w:val="Heading2"/>
        <w:spacing w:after="120"/>
        <w:rPr>
          <w:color w:val="548DD4" w:themeColor="text2" w:themeTint="99"/>
          <w:sz w:val="24"/>
          <w:szCs w:val="24"/>
        </w:rPr>
      </w:pPr>
    </w:p>
    <w:p w14:paraId="318465B2" w14:textId="77777777" w:rsidR="00E16D4A" w:rsidRDefault="00E16D4A" w:rsidP="00E16D4A"/>
    <w:p w14:paraId="3F3E3C86" w14:textId="77777777" w:rsidR="00E16D4A" w:rsidRDefault="00E16D4A" w:rsidP="00E16D4A"/>
    <w:p w14:paraId="51A4B8DF" w14:textId="77777777" w:rsidR="00E16D4A" w:rsidRPr="00E16D4A" w:rsidRDefault="00E16D4A" w:rsidP="00E16D4A"/>
    <w:p w14:paraId="3ACBD248" w14:textId="77777777" w:rsidR="006E54FD" w:rsidRDefault="006E54FD" w:rsidP="00254C55">
      <w:pPr>
        <w:pStyle w:val="Heading2"/>
        <w:spacing w:after="120"/>
        <w:rPr>
          <w:color w:val="548DD4" w:themeColor="text2" w:themeTint="99"/>
          <w:sz w:val="24"/>
          <w:szCs w:val="24"/>
        </w:rPr>
      </w:pPr>
    </w:p>
    <w:p w14:paraId="58FEA9FB" w14:textId="77777777" w:rsidR="00786CC5" w:rsidRDefault="00786CC5">
      <w:pPr>
        <w:rPr>
          <w:rFonts w:asciiTheme="majorHAnsi" w:eastAsiaTheme="majorEastAsia" w:hAnsiTheme="majorHAnsi" w:cstheme="majorBidi"/>
          <w:b/>
          <w:bCs/>
          <w:color w:val="548DD4" w:themeColor="text2" w:themeTint="99"/>
        </w:rPr>
      </w:pPr>
      <w:r>
        <w:rPr>
          <w:color w:val="548DD4" w:themeColor="text2" w:themeTint="99"/>
        </w:rPr>
        <w:br w:type="page"/>
      </w:r>
    </w:p>
    <w:p w14:paraId="7D227C0C" w14:textId="77777777" w:rsidR="00C774E3" w:rsidRDefault="00C774E3" w:rsidP="00254C55">
      <w:pPr>
        <w:pStyle w:val="Heading2"/>
        <w:spacing w:after="120"/>
        <w:rPr>
          <w:color w:val="548DD4" w:themeColor="text2" w:themeTint="99"/>
          <w:sz w:val="24"/>
          <w:szCs w:val="24"/>
        </w:rPr>
      </w:pPr>
    </w:p>
    <w:p w14:paraId="320E66D7" w14:textId="5C30E106" w:rsidR="0038779F" w:rsidRPr="00E64758" w:rsidRDefault="00254C55" w:rsidP="00254C55">
      <w:pPr>
        <w:pStyle w:val="Heading2"/>
        <w:spacing w:after="120"/>
        <w:rPr>
          <w:color w:val="548DD4" w:themeColor="text2" w:themeTint="99"/>
          <w:sz w:val="24"/>
          <w:szCs w:val="24"/>
        </w:rPr>
      </w:pPr>
      <w:bookmarkStart w:id="57" w:name="_Toc294273152"/>
      <w:r w:rsidRPr="00E64758">
        <w:rPr>
          <w:color w:val="548DD4" w:themeColor="text2" w:themeTint="99"/>
          <w:sz w:val="24"/>
          <w:szCs w:val="24"/>
        </w:rPr>
        <w:t>BATHING AREAS</w:t>
      </w:r>
      <w:bookmarkEnd w:id="55"/>
      <w:bookmarkEnd w:id="56"/>
      <w:bookmarkEnd w:id="57"/>
    </w:p>
    <w:p w14:paraId="02F2EF5D" w14:textId="5EB15822" w:rsidR="001E0E3B" w:rsidRDefault="00864F1E" w:rsidP="001E0E3B">
      <w:pPr>
        <w:spacing w:after="120"/>
        <w:jc w:val="both"/>
        <w:rPr>
          <w:rFonts w:asciiTheme="majorHAnsi" w:hAnsiTheme="majorHAnsi"/>
        </w:rPr>
      </w:pPr>
      <w:r>
        <w:rPr>
          <w:rFonts w:asciiTheme="majorHAnsi" w:hAnsiTheme="majorHAnsi"/>
        </w:rPr>
        <w:t xml:space="preserve">At the beginning of the </w:t>
      </w:r>
      <w:r w:rsidR="001E0E3B">
        <w:rPr>
          <w:rFonts w:asciiTheme="majorHAnsi" w:hAnsiTheme="majorHAnsi"/>
        </w:rPr>
        <w:t xml:space="preserve">emergency </w:t>
      </w:r>
      <w:r>
        <w:rPr>
          <w:rFonts w:asciiTheme="majorHAnsi" w:hAnsiTheme="majorHAnsi"/>
        </w:rPr>
        <w:t>response</w:t>
      </w:r>
      <w:r w:rsidR="001E0E3B">
        <w:rPr>
          <w:rFonts w:asciiTheme="majorHAnsi" w:hAnsiTheme="majorHAnsi"/>
        </w:rPr>
        <w:t xml:space="preserve"> in 2012, the Shelter C</w:t>
      </w:r>
      <w:r>
        <w:rPr>
          <w:rFonts w:asciiTheme="majorHAnsi" w:hAnsiTheme="majorHAnsi"/>
        </w:rPr>
        <w:t>luster included communal bathing areas for women in the site planning for the first IDP camps</w:t>
      </w:r>
      <w:r w:rsidR="001E0E3B">
        <w:rPr>
          <w:rFonts w:asciiTheme="majorHAnsi" w:hAnsiTheme="majorHAnsi"/>
        </w:rPr>
        <w:t xml:space="preserve"> constructed by UNHCR</w:t>
      </w:r>
      <w:r>
        <w:rPr>
          <w:rFonts w:asciiTheme="majorHAnsi" w:hAnsiTheme="majorHAnsi"/>
        </w:rPr>
        <w:t>. However, despite using par</w:t>
      </w:r>
      <w:r w:rsidR="001E0E3B">
        <w:rPr>
          <w:rFonts w:asciiTheme="majorHAnsi" w:hAnsiTheme="majorHAnsi"/>
        </w:rPr>
        <w:t>ticipatory design techniques</w:t>
      </w:r>
      <w:r>
        <w:rPr>
          <w:rFonts w:asciiTheme="majorHAnsi" w:hAnsiTheme="majorHAnsi"/>
        </w:rPr>
        <w:t>, the</w:t>
      </w:r>
      <w:r w:rsidR="001E0E3B">
        <w:rPr>
          <w:rFonts w:asciiTheme="majorHAnsi" w:hAnsiTheme="majorHAnsi"/>
        </w:rPr>
        <w:t>se</w:t>
      </w:r>
      <w:r>
        <w:rPr>
          <w:rFonts w:asciiTheme="majorHAnsi" w:hAnsiTheme="majorHAnsi"/>
        </w:rPr>
        <w:t xml:space="preserve"> </w:t>
      </w:r>
      <w:r w:rsidR="001E0E3B">
        <w:rPr>
          <w:rFonts w:asciiTheme="majorHAnsi" w:hAnsiTheme="majorHAnsi"/>
        </w:rPr>
        <w:t xml:space="preserve">bathing areas proved a failure.  Reports from this KAP survey reveal that 56% of women and girls bathe in home whereas men and boys use the water point. </w:t>
      </w:r>
    </w:p>
    <w:p w14:paraId="0BC7C899" w14:textId="28945C9A" w:rsidR="00E12192" w:rsidRPr="001E0E3B" w:rsidRDefault="001E0E3B" w:rsidP="001E0E3B">
      <w:pPr>
        <w:spacing w:after="120"/>
        <w:jc w:val="both"/>
        <w:rPr>
          <w:rFonts w:asciiTheme="majorHAnsi" w:hAnsiTheme="majorHAnsi"/>
        </w:rPr>
      </w:pPr>
      <w:r>
        <w:rPr>
          <w:rFonts w:asciiTheme="majorHAnsi" w:hAnsiTheme="majorHAnsi"/>
        </w:rPr>
        <w:t xml:space="preserve">Although some of the bathing areas inside shelters have been supported by WASH agencies, </w:t>
      </w:r>
      <w:proofErr w:type="gramStart"/>
      <w:r>
        <w:rPr>
          <w:rFonts w:asciiTheme="majorHAnsi" w:hAnsiTheme="majorHAnsi"/>
        </w:rPr>
        <w:t>many were constructed by the beneficiaries themselves</w:t>
      </w:r>
      <w:proofErr w:type="gramEnd"/>
      <w:r>
        <w:rPr>
          <w:rFonts w:asciiTheme="majorHAnsi" w:hAnsiTheme="majorHAnsi"/>
        </w:rPr>
        <w:t>.</w:t>
      </w:r>
      <w:r w:rsidR="00517623">
        <w:rPr>
          <w:rFonts w:asciiTheme="majorHAnsi" w:hAnsiTheme="majorHAnsi"/>
        </w:rPr>
        <w:t xml:space="preserve"> Observations within households revealed that 35% of respondent households have a specific area for women bathing within their shelters although almost double that number reported that women </w:t>
      </w:r>
      <w:r w:rsidR="00AA001B">
        <w:rPr>
          <w:rFonts w:asciiTheme="majorHAnsi" w:hAnsiTheme="majorHAnsi"/>
        </w:rPr>
        <w:t xml:space="preserve">are bathing within shelters. </w:t>
      </w:r>
    </w:p>
    <w:p w14:paraId="0A673C79" w14:textId="15F06D9E" w:rsidR="00E12192" w:rsidRPr="00254C55" w:rsidRDefault="00E12192" w:rsidP="00254C55">
      <w:pPr>
        <w:spacing w:after="120"/>
      </w:pPr>
      <w:r>
        <w:rPr>
          <w:noProof/>
          <w:lang w:val="en-US"/>
        </w:rPr>
        <w:drawing>
          <wp:anchor distT="0" distB="0" distL="114300" distR="114300" simplePos="0" relativeHeight="251724800" behindDoc="0" locked="0" layoutInCell="1" allowOverlap="1" wp14:anchorId="1A2B80D0" wp14:editId="571BF092">
            <wp:simplePos x="0" y="0"/>
            <wp:positionH relativeFrom="column">
              <wp:posOffset>3543300</wp:posOffset>
            </wp:positionH>
            <wp:positionV relativeFrom="paragraph">
              <wp:posOffset>107315</wp:posOffset>
            </wp:positionV>
            <wp:extent cx="2628900" cy="2400300"/>
            <wp:effectExtent l="0" t="0" r="0" b="0"/>
            <wp:wrapNone/>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p>
    <w:p w14:paraId="276E6C14" w14:textId="557D0106" w:rsidR="00C774E3" w:rsidRDefault="00C774E3">
      <w:pPr>
        <w:rPr>
          <w:color w:val="548DD4" w:themeColor="text2" w:themeTint="99"/>
        </w:rPr>
      </w:pPr>
      <w:bookmarkStart w:id="58" w:name="_Toc292703957"/>
      <w:bookmarkStart w:id="59" w:name="_Toc292704175"/>
      <w:r>
        <w:rPr>
          <w:noProof/>
          <w:lang w:val="en-US"/>
        </w:rPr>
        <w:drawing>
          <wp:inline distT="0" distB="0" distL="0" distR="0" wp14:anchorId="5DAF013E" wp14:editId="6F4F7A83">
            <wp:extent cx="3423920" cy="2367280"/>
            <wp:effectExtent l="0" t="0" r="508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AB9FE91" w14:textId="0C89FCBE" w:rsidR="00C774E3" w:rsidRDefault="00C774E3">
      <w:pPr>
        <w:rPr>
          <w:color w:val="548DD4" w:themeColor="text2" w:themeTint="99"/>
        </w:rPr>
      </w:pPr>
    </w:p>
    <w:p w14:paraId="3C67966E" w14:textId="304E4800" w:rsidR="009D3715" w:rsidRPr="001E0E3B" w:rsidRDefault="001E0E3B" w:rsidP="00BC7B57">
      <w:pPr>
        <w:jc w:val="both"/>
        <w:rPr>
          <w:rFonts w:asciiTheme="majorHAnsi" w:hAnsiTheme="majorHAnsi"/>
        </w:rPr>
      </w:pPr>
      <w:r w:rsidRPr="001E0E3B">
        <w:rPr>
          <w:rFonts w:asciiTheme="majorHAnsi" w:hAnsiTheme="majorHAnsi"/>
        </w:rPr>
        <w:t xml:space="preserve">When </w:t>
      </w:r>
      <w:r w:rsidR="00AA001B">
        <w:rPr>
          <w:rFonts w:asciiTheme="majorHAnsi" w:hAnsiTheme="majorHAnsi"/>
        </w:rPr>
        <w:t xml:space="preserve">asked </w:t>
      </w:r>
      <w:r w:rsidRPr="001E0E3B">
        <w:rPr>
          <w:rFonts w:asciiTheme="majorHAnsi" w:hAnsiTheme="majorHAnsi"/>
        </w:rPr>
        <w:t xml:space="preserve">why </w:t>
      </w:r>
      <w:r w:rsidR="00AA001B">
        <w:rPr>
          <w:rFonts w:asciiTheme="majorHAnsi" w:hAnsiTheme="majorHAnsi"/>
        </w:rPr>
        <w:t xml:space="preserve">these bathing areas were constructed, </w:t>
      </w:r>
      <w:r w:rsidR="00BC7B57">
        <w:rPr>
          <w:rFonts w:asciiTheme="majorHAnsi" w:hAnsiTheme="majorHAnsi"/>
        </w:rPr>
        <w:t xml:space="preserve">most respondents </w:t>
      </w:r>
      <w:r w:rsidR="00AA001B">
        <w:rPr>
          <w:rFonts w:asciiTheme="majorHAnsi" w:hAnsiTheme="majorHAnsi"/>
        </w:rPr>
        <w:t xml:space="preserve">replied that women require privacy and that communal bathing areas </w:t>
      </w:r>
      <w:r w:rsidR="00BC7B57">
        <w:rPr>
          <w:rFonts w:asciiTheme="majorHAnsi" w:hAnsiTheme="majorHAnsi"/>
        </w:rPr>
        <w:t>are inappropriate. The demand for private bathing spaces is great. However, the main reason for not constructing them is a lack of income.</w:t>
      </w:r>
    </w:p>
    <w:p w14:paraId="6D02DA8B" w14:textId="77777777" w:rsidR="009D3715" w:rsidRDefault="009D3715">
      <w:pPr>
        <w:rPr>
          <w:color w:val="548DD4" w:themeColor="text2" w:themeTint="99"/>
        </w:rPr>
      </w:pPr>
    </w:p>
    <w:p w14:paraId="3C67DB1D" w14:textId="62ABB3F8" w:rsidR="00C774E3" w:rsidRDefault="009D3715">
      <w:pPr>
        <w:rPr>
          <w:color w:val="548DD4" w:themeColor="text2" w:themeTint="99"/>
        </w:rPr>
      </w:pPr>
      <w:r>
        <w:rPr>
          <w:noProof/>
          <w:lang w:val="en-US"/>
        </w:rPr>
        <w:drawing>
          <wp:anchor distT="0" distB="0" distL="114300" distR="114300" simplePos="0" relativeHeight="251726848" behindDoc="0" locked="0" layoutInCell="1" allowOverlap="1" wp14:anchorId="4E6A7A51" wp14:editId="4718D790">
            <wp:simplePos x="0" y="0"/>
            <wp:positionH relativeFrom="column">
              <wp:posOffset>3429000</wp:posOffset>
            </wp:positionH>
            <wp:positionV relativeFrom="paragraph">
              <wp:posOffset>50165</wp:posOffset>
            </wp:positionV>
            <wp:extent cx="3086100" cy="2420620"/>
            <wp:effectExtent l="0" t="0" r="0" b="0"/>
            <wp:wrapNone/>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r>
        <w:rPr>
          <w:noProof/>
          <w:lang w:val="en-US"/>
        </w:rPr>
        <w:drawing>
          <wp:inline distT="0" distB="0" distL="0" distR="0" wp14:anchorId="119D229C" wp14:editId="4E928E5B">
            <wp:extent cx="3423920" cy="2583180"/>
            <wp:effectExtent l="0" t="0" r="5080" b="762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74DCA96" w14:textId="462CE7D7" w:rsidR="00BC7B57" w:rsidRDefault="00BC7B57">
      <w:pPr>
        <w:rPr>
          <w:color w:val="548DD4" w:themeColor="text2" w:themeTint="99"/>
        </w:rPr>
      </w:pPr>
      <w:r>
        <w:rPr>
          <w:color w:val="548DD4" w:themeColor="text2" w:themeTint="99"/>
        </w:rPr>
        <w:br w:type="page"/>
      </w:r>
    </w:p>
    <w:p w14:paraId="43C6F3A7" w14:textId="77777777" w:rsidR="00C774E3" w:rsidRDefault="00C774E3">
      <w:pPr>
        <w:rPr>
          <w:color w:val="548DD4" w:themeColor="text2" w:themeTint="99"/>
        </w:rPr>
      </w:pPr>
    </w:p>
    <w:p w14:paraId="7709ABD4" w14:textId="29056922" w:rsidR="00254C55" w:rsidRPr="00E64758" w:rsidRDefault="00254C55" w:rsidP="00254C55">
      <w:pPr>
        <w:pStyle w:val="Heading2"/>
        <w:spacing w:after="120"/>
        <w:rPr>
          <w:color w:val="548DD4" w:themeColor="text2" w:themeTint="99"/>
          <w:sz w:val="24"/>
          <w:szCs w:val="24"/>
        </w:rPr>
      </w:pPr>
      <w:bookmarkStart w:id="60" w:name="_Toc294273153"/>
      <w:r w:rsidRPr="00E64758">
        <w:rPr>
          <w:color w:val="548DD4" w:themeColor="text2" w:themeTint="99"/>
          <w:sz w:val="24"/>
          <w:szCs w:val="24"/>
        </w:rPr>
        <w:t>MENSTRUAL HYGIENE</w:t>
      </w:r>
      <w:bookmarkEnd w:id="58"/>
      <w:bookmarkEnd w:id="59"/>
      <w:bookmarkEnd w:id="60"/>
      <w:r w:rsidRPr="00E64758">
        <w:rPr>
          <w:color w:val="548DD4" w:themeColor="text2" w:themeTint="99"/>
          <w:sz w:val="24"/>
          <w:szCs w:val="24"/>
        </w:rPr>
        <w:t xml:space="preserve">    </w:t>
      </w:r>
    </w:p>
    <w:p w14:paraId="50EA09A9" w14:textId="62C83E86" w:rsidR="00C47451" w:rsidRPr="00BC7B57" w:rsidRDefault="00C47451" w:rsidP="00C47451">
      <w:pPr>
        <w:spacing w:after="120"/>
        <w:jc w:val="both"/>
        <w:rPr>
          <w:rFonts w:asciiTheme="majorHAnsi" w:hAnsiTheme="majorHAnsi"/>
        </w:rPr>
      </w:pPr>
      <w:r w:rsidRPr="00BC7B57">
        <w:rPr>
          <w:rFonts w:asciiTheme="majorHAnsi" w:hAnsiTheme="majorHAnsi"/>
        </w:rPr>
        <w:t xml:space="preserve">Given the sensitive nature of the subject matter, the survey questions relating to menstrual hygiene were phrased to ask </w:t>
      </w:r>
      <w:r w:rsidR="0076182B" w:rsidRPr="00BC7B57">
        <w:rPr>
          <w:rFonts w:asciiTheme="majorHAnsi" w:hAnsiTheme="majorHAnsi"/>
        </w:rPr>
        <w:t xml:space="preserve">the respondent </w:t>
      </w:r>
      <w:r w:rsidRPr="00BC7B57">
        <w:rPr>
          <w:rFonts w:asciiTheme="majorHAnsi" w:hAnsiTheme="majorHAnsi"/>
        </w:rPr>
        <w:t xml:space="preserve">about the general habits of women in the neighbourhood rather than asking </w:t>
      </w:r>
      <w:r w:rsidR="0076182B" w:rsidRPr="00BC7B57">
        <w:rPr>
          <w:rFonts w:asciiTheme="majorHAnsi" w:hAnsiTheme="majorHAnsi"/>
        </w:rPr>
        <w:t>them about their personal habits</w:t>
      </w:r>
      <w:r w:rsidRPr="00BC7B57">
        <w:rPr>
          <w:rFonts w:asciiTheme="majorHAnsi" w:hAnsiTheme="majorHAnsi"/>
        </w:rPr>
        <w:t>.</w:t>
      </w:r>
      <w:r w:rsidR="00BB5A84">
        <w:rPr>
          <w:rFonts w:asciiTheme="majorHAnsi" w:hAnsiTheme="majorHAnsi"/>
        </w:rPr>
        <w:t xml:space="preserve"> Although the question was phrase</w:t>
      </w:r>
      <w:r w:rsidR="00A20DED">
        <w:rPr>
          <w:rFonts w:asciiTheme="majorHAnsi" w:hAnsiTheme="majorHAnsi"/>
        </w:rPr>
        <w:t>d</w:t>
      </w:r>
      <w:r w:rsidR="00BB5A84">
        <w:rPr>
          <w:rFonts w:asciiTheme="majorHAnsi" w:hAnsiTheme="majorHAnsi"/>
        </w:rPr>
        <w:t xml:space="preserve"> in this way to deflect embarrassment, it is most likely that women answered it from the</w:t>
      </w:r>
      <w:r w:rsidR="00A20DED">
        <w:rPr>
          <w:rFonts w:asciiTheme="majorHAnsi" w:hAnsiTheme="majorHAnsi"/>
        </w:rPr>
        <w:t>ir</w:t>
      </w:r>
      <w:r w:rsidR="00BB5A84">
        <w:rPr>
          <w:rFonts w:asciiTheme="majorHAnsi" w:hAnsiTheme="majorHAnsi"/>
        </w:rPr>
        <w:t xml:space="preserve"> personal perspective</w:t>
      </w:r>
      <w:r w:rsidR="00A20DED">
        <w:rPr>
          <w:rFonts w:asciiTheme="majorHAnsi" w:hAnsiTheme="majorHAnsi"/>
        </w:rPr>
        <w:t>.</w:t>
      </w:r>
    </w:p>
    <w:p w14:paraId="3D817169" w14:textId="2C2697A9" w:rsidR="00C47451" w:rsidRPr="00BC7B57" w:rsidRDefault="00D46037" w:rsidP="00C47451">
      <w:pPr>
        <w:spacing w:after="120"/>
        <w:jc w:val="both"/>
        <w:rPr>
          <w:rFonts w:asciiTheme="majorHAnsi" w:hAnsiTheme="majorHAnsi"/>
        </w:rPr>
      </w:pPr>
      <w:r w:rsidRPr="00BC7B57">
        <w:rPr>
          <w:rFonts w:asciiTheme="majorHAnsi" w:hAnsiTheme="majorHAnsi"/>
        </w:rPr>
        <w:t>Women</w:t>
      </w:r>
      <w:r w:rsidR="0076182B" w:rsidRPr="00BC7B57">
        <w:rPr>
          <w:rFonts w:asciiTheme="majorHAnsi" w:hAnsiTheme="majorHAnsi"/>
        </w:rPr>
        <w:t xml:space="preserve"> reported significant changes in </w:t>
      </w:r>
      <w:r w:rsidRPr="00BC7B57">
        <w:rPr>
          <w:rFonts w:asciiTheme="majorHAnsi" w:hAnsiTheme="majorHAnsi"/>
        </w:rPr>
        <w:t>m</w:t>
      </w:r>
      <w:r w:rsidR="00C47451" w:rsidRPr="00BC7B57">
        <w:rPr>
          <w:rFonts w:asciiTheme="majorHAnsi" w:hAnsiTheme="majorHAnsi"/>
        </w:rPr>
        <w:t>enstrual hygiene habits since the conflict</w:t>
      </w:r>
      <w:r w:rsidR="00C063AF" w:rsidRPr="00BC7B57">
        <w:rPr>
          <w:rFonts w:asciiTheme="majorHAnsi" w:hAnsiTheme="majorHAnsi"/>
        </w:rPr>
        <w:t xml:space="preserve"> with 51% of respondents reporting that they are now using a different form of sanitary protection to what they used before the conflict</w:t>
      </w:r>
      <w:r w:rsidR="00C47451" w:rsidRPr="00BC7B57">
        <w:rPr>
          <w:rFonts w:asciiTheme="majorHAnsi" w:hAnsiTheme="majorHAnsi"/>
        </w:rPr>
        <w:t xml:space="preserve">. </w:t>
      </w:r>
      <w:r w:rsidR="000070A6" w:rsidRPr="00BC7B57">
        <w:rPr>
          <w:rFonts w:asciiTheme="majorHAnsi" w:hAnsiTheme="majorHAnsi"/>
        </w:rPr>
        <w:t xml:space="preserve">The </w:t>
      </w:r>
      <w:r w:rsidR="00C063AF" w:rsidRPr="00BC7B57">
        <w:rPr>
          <w:rFonts w:asciiTheme="majorHAnsi" w:hAnsiTheme="majorHAnsi"/>
        </w:rPr>
        <w:t xml:space="preserve">regular </w:t>
      </w:r>
      <w:r w:rsidR="000070A6" w:rsidRPr="00BC7B57">
        <w:rPr>
          <w:rFonts w:asciiTheme="majorHAnsi" w:hAnsiTheme="majorHAnsi"/>
        </w:rPr>
        <w:t xml:space="preserve">use of sanitary napkins has increased </w:t>
      </w:r>
      <w:r w:rsidR="00C063AF" w:rsidRPr="00BC7B57">
        <w:rPr>
          <w:rFonts w:asciiTheme="majorHAnsi" w:hAnsiTheme="majorHAnsi"/>
        </w:rPr>
        <w:t xml:space="preserve">by 51% </w:t>
      </w:r>
      <w:r w:rsidRPr="00BC7B57">
        <w:rPr>
          <w:rFonts w:asciiTheme="majorHAnsi" w:hAnsiTheme="majorHAnsi"/>
        </w:rPr>
        <w:t>across the target area</w:t>
      </w:r>
      <w:proofErr w:type="gramStart"/>
      <w:r w:rsidR="00C063AF" w:rsidRPr="00BC7B57">
        <w:rPr>
          <w:rFonts w:asciiTheme="majorHAnsi" w:hAnsiTheme="majorHAnsi"/>
        </w:rPr>
        <w:t>;</w:t>
      </w:r>
      <w:proofErr w:type="gramEnd"/>
      <w:r w:rsidRPr="00BC7B57">
        <w:rPr>
          <w:rFonts w:asciiTheme="majorHAnsi" w:hAnsiTheme="majorHAnsi"/>
        </w:rPr>
        <w:t xml:space="preserve"> </w:t>
      </w:r>
      <w:r w:rsidR="000070A6" w:rsidRPr="00BC7B57">
        <w:rPr>
          <w:rFonts w:asciiTheme="majorHAnsi" w:hAnsiTheme="majorHAnsi"/>
        </w:rPr>
        <w:t xml:space="preserve">from 18% before the conflict to 69% of women today. </w:t>
      </w:r>
      <w:r w:rsidRPr="00BC7B57">
        <w:rPr>
          <w:rFonts w:asciiTheme="majorHAnsi" w:hAnsiTheme="majorHAnsi"/>
        </w:rPr>
        <w:t>The greatest change was reported in the IDP camps where sanitary napkin usage has increased by 70%</w:t>
      </w:r>
      <w:proofErr w:type="gramStart"/>
      <w:r w:rsidRPr="00BC7B57">
        <w:rPr>
          <w:rFonts w:asciiTheme="majorHAnsi" w:hAnsiTheme="majorHAnsi"/>
        </w:rPr>
        <w:t>;</w:t>
      </w:r>
      <w:proofErr w:type="gramEnd"/>
      <w:r w:rsidRPr="00BC7B57">
        <w:rPr>
          <w:rFonts w:asciiTheme="majorHAnsi" w:hAnsiTheme="majorHAnsi"/>
        </w:rPr>
        <w:t xml:space="preserve"> from 21% to 91%. However, </w:t>
      </w:r>
      <w:r w:rsidR="0065530E" w:rsidRPr="00BC7B57">
        <w:rPr>
          <w:rFonts w:asciiTheme="majorHAnsi" w:hAnsiTheme="majorHAnsi"/>
        </w:rPr>
        <w:t xml:space="preserve">significant </w:t>
      </w:r>
      <w:r w:rsidRPr="00BC7B57">
        <w:rPr>
          <w:rFonts w:asciiTheme="majorHAnsi" w:hAnsiTheme="majorHAnsi"/>
        </w:rPr>
        <w:t xml:space="preserve">changes were also reported </w:t>
      </w:r>
      <w:r w:rsidR="004E7B55" w:rsidRPr="00BC7B57">
        <w:rPr>
          <w:rFonts w:asciiTheme="majorHAnsi" w:hAnsiTheme="majorHAnsi"/>
        </w:rPr>
        <w:t xml:space="preserve">in </w:t>
      </w:r>
      <w:r w:rsidRPr="00BC7B57">
        <w:rPr>
          <w:rFonts w:asciiTheme="majorHAnsi" w:hAnsiTheme="majorHAnsi"/>
        </w:rPr>
        <w:t xml:space="preserve">the villages where usage has increase </w:t>
      </w:r>
      <w:r w:rsidR="0065530E" w:rsidRPr="00BC7B57">
        <w:rPr>
          <w:rFonts w:asciiTheme="majorHAnsi" w:hAnsiTheme="majorHAnsi"/>
        </w:rPr>
        <w:t>by 32%</w:t>
      </w:r>
      <w:proofErr w:type="gramStart"/>
      <w:r w:rsidR="0065530E" w:rsidRPr="00BC7B57">
        <w:rPr>
          <w:rFonts w:asciiTheme="majorHAnsi" w:hAnsiTheme="majorHAnsi"/>
        </w:rPr>
        <w:t>;</w:t>
      </w:r>
      <w:proofErr w:type="gramEnd"/>
      <w:r w:rsidR="0065530E" w:rsidRPr="00BC7B57">
        <w:rPr>
          <w:rFonts w:asciiTheme="majorHAnsi" w:hAnsiTheme="majorHAnsi"/>
        </w:rPr>
        <w:t xml:space="preserve"> </w:t>
      </w:r>
      <w:r w:rsidRPr="00BC7B57">
        <w:rPr>
          <w:rFonts w:asciiTheme="majorHAnsi" w:hAnsiTheme="majorHAnsi"/>
        </w:rPr>
        <w:t>from 13% to</w:t>
      </w:r>
      <w:r w:rsidR="0065530E" w:rsidRPr="00BC7B57">
        <w:rPr>
          <w:rFonts w:asciiTheme="majorHAnsi" w:hAnsiTheme="majorHAnsi"/>
        </w:rPr>
        <w:t xml:space="preserve"> 45%.</w:t>
      </w:r>
      <w:r w:rsidRPr="00BC7B57">
        <w:rPr>
          <w:rFonts w:asciiTheme="majorHAnsi" w:hAnsiTheme="majorHAnsi"/>
        </w:rPr>
        <w:t xml:space="preserve">   </w:t>
      </w:r>
    </w:p>
    <w:p w14:paraId="29E89AE5" w14:textId="4221A141" w:rsidR="00C47451" w:rsidRPr="00BC7B57" w:rsidRDefault="00E531A4" w:rsidP="00C47451">
      <w:pPr>
        <w:spacing w:after="120"/>
        <w:jc w:val="both"/>
        <w:rPr>
          <w:rFonts w:asciiTheme="majorHAnsi" w:hAnsiTheme="majorHAnsi"/>
          <w:sz w:val="2"/>
          <w:szCs w:val="2"/>
        </w:rPr>
      </w:pPr>
      <w:r w:rsidRPr="00BC7B57">
        <w:rPr>
          <w:noProof/>
          <w:sz w:val="2"/>
          <w:szCs w:val="2"/>
          <w:lang w:val="en-US"/>
        </w:rPr>
        <w:drawing>
          <wp:anchor distT="0" distB="0" distL="114300" distR="114300" simplePos="0" relativeHeight="251684864" behindDoc="0" locked="0" layoutInCell="1" allowOverlap="1" wp14:anchorId="098C9673" wp14:editId="7E428670">
            <wp:simplePos x="0" y="0"/>
            <wp:positionH relativeFrom="column">
              <wp:posOffset>2514600</wp:posOffset>
            </wp:positionH>
            <wp:positionV relativeFrom="paragraph">
              <wp:posOffset>43180</wp:posOffset>
            </wp:positionV>
            <wp:extent cx="3103880" cy="2171700"/>
            <wp:effectExtent l="0" t="0" r="0" b="0"/>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p>
    <w:p w14:paraId="5B8AFD2F" w14:textId="0E335C14" w:rsidR="00C47451" w:rsidRDefault="002E4883" w:rsidP="00C47451">
      <w:pPr>
        <w:spacing w:after="120"/>
        <w:jc w:val="both"/>
        <w:rPr>
          <w:rFonts w:asciiTheme="majorHAnsi" w:hAnsiTheme="majorHAnsi"/>
        </w:rPr>
      </w:pPr>
      <w:r>
        <w:rPr>
          <w:noProof/>
          <w:lang w:val="en-US"/>
        </w:rPr>
        <mc:AlternateContent>
          <mc:Choice Requires="wps">
            <w:drawing>
              <wp:anchor distT="0" distB="0" distL="114300" distR="114300" simplePos="0" relativeHeight="251685888" behindDoc="0" locked="0" layoutInCell="1" allowOverlap="1" wp14:anchorId="53307CF5" wp14:editId="2BF2BD5A">
                <wp:simplePos x="0" y="0"/>
                <wp:positionH relativeFrom="column">
                  <wp:posOffset>1257300</wp:posOffset>
                </wp:positionH>
                <wp:positionV relativeFrom="paragraph">
                  <wp:posOffset>2139315</wp:posOffset>
                </wp:positionV>
                <wp:extent cx="3429000" cy="3429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34290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C72F0B" w14:textId="23C8220B" w:rsidR="00977094" w:rsidRPr="002E4883" w:rsidRDefault="00977094">
                            <w:pPr>
                              <w:rPr>
                                <w:rFonts w:asciiTheme="majorHAnsi" w:hAnsiTheme="majorHAnsi"/>
                                <w:b/>
                                <w:sz w:val="20"/>
                                <w:szCs w:val="20"/>
                              </w:rPr>
                            </w:pPr>
                            <w:r w:rsidRPr="002E4883">
                              <w:rPr>
                                <w:rFonts w:asciiTheme="majorHAnsi" w:hAnsiTheme="majorHAnsi"/>
                                <w:b/>
                                <w:sz w:val="20"/>
                                <w:szCs w:val="20"/>
                              </w:rPr>
                              <w:t xml:space="preserve">Changes in Women’s use of Sanitary Protection Materials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99pt;margin-top:168.45pt;width:270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" filled="f" stroked="f">
                <v:textbox>
                  <w:txbxContent>
                    <w:p w14:paraId="56C72F0B" w14:textId="23C8220B" w:rsidR="00977094" w:rsidRPr="002E4883" w:rsidRDefault="00977094">
                      <w:pPr>
                        <w:rPr>
                          <w:rFonts w:asciiTheme="majorHAnsi" w:hAnsiTheme="majorHAnsi"/>
                          <w:b/>
                          <w:sz w:val="20"/>
                          <w:szCs w:val="20"/>
                        </w:rPr>
                      </w:pPr>
                      <w:r w:rsidRPr="002E4883">
                        <w:rPr>
                          <w:rFonts w:asciiTheme="majorHAnsi" w:hAnsiTheme="majorHAnsi"/>
                          <w:b/>
                          <w:sz w:val="20"/>
                          <w:szCs w:val="20"/>
                        </w:rPr>
                        <w:t xml:space="preserve">Changes in Women’s use of Sanitary Protection Materials </w:t>
                      </w:r>
                    </w:p>
                  </w:txbxContent>
                </v:textbox>
              </v:shape>
            </w:pict>
          </mc:Fallback>
        </mc:AlternateContent>
      </w:r>
      <w:r w:rsidR="0065530E">
        <w:rPr>
          <w:rFonts w:asciiTheme="majorHAnsi" w:hAnsiTheme="majorHAnsi"/>
          <w:noProof/>
          <w:lang w:val="en-US"/>
        </w:rPr>
        <mc:AlternateContent>
          <mc:Choice Requires="wps">
            <w:drawing>
              <wp:anchor distT="0" distB="0" distL="114300" distR="114300" simplePos="0" relativeHeight="251693056" behindDoc="0" locked="0" layoutInCell="1" allowOverlap="1" wp14:anchorId="1224BA8C" wp14:editId="71CF26AF">
                <wp:simplePos x="0" y="0"/>
                <wp:positionH relativeFrom="column">
                  <wp:posOffset>2171700</wp:posOffset>
                </wp:positionH>
                <wp:positionV relativeFrom="paragraph">
                  <wp:posOffset>1623695</wp:posOffset>
                </wp:positionV>
                <wp:extent cx="342900" cy="228600"/>
                <wp:effectExtent l="0" t="0" r="12700" b="0"/>
                <wp:wrapNone/>
                <wp:docPr id="20" name="Text Box 2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3B9D2B" w14:textId="4C173788" w:rsidR="00977094" w:rsidRPr="0065530E" w:rsidRDefault="00977094" w:rsidP="0065530E">
                            <w:pPr>
                              <w:jc w:val="both"/>
                              <w:rPr>
                                <w:b/>
                                <w:sz w:val="16"/>
                                <w:szCs w:val="16"/>
                              </w:rPr>
                            </w:pPr>
                            <w:r w:rsidRPr="0065530E">
                              <w:rPr>
                                <w:b/>
                                <w:sz w:val="16"/>
                                <w:szCs w:val="16"/>
                              </w:rPr>
                              <w:t>13%</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left:0;text-align:left;margin-left:171pt;margin-top:127.85pt;width:27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" filled="f" stroked="f">
                <v:textbox inset=",0,0,0">
                  <w:txbxContent>
                    <w:p w14:paraId="3F3B9D2B" w14:textId="4C173788" w:rsidR="00977094" w:rsidRPr="0065530E" w:rsidRDefault="00977094" w:rsidP="0065530E">
                      <w:pPr>
                        <w:jc w:val="both"/>
                        <w:rPr>
                          <w:b/>
                          <w:sz w:val="16"/>
                          <w:szCs w:val="16"/>
                        </w:rPr>
                      </w:pPr>
                      <w:r w:rsidRPr="0065530E">
                        <w:rPr>
                          <w:b/>
                          <w:sz w:val="16"/>
                          <w:szCs w:val="16"/>
                        </w:rPr>
                        <w:t>13%</w:t>
                      </w:r>
                    </w:p>
                  </w:txbxContent>
                </v:textbox>
              </v:shape>
            </w:pict>
          </mc:Fallback>
        </mc:AlternateContent>
      </w:r>
      <w:r w:rsidR="0065530E">
        <w:rPr>
          <w:rFonts w:asciiTheme="majorHAnsi" w:hAnsiTheme="majorHAnsi"/>
          <w:noProof/>
          <w:lang w:val="en-US"/>
        </w:rPr>
        <mc:AlternateContent>
          <mc:Choice Requires="wps">
            <w:drawing>
              <wp:anchor distT="0" distB="0" distL="114300" distR="114300" simplePos="0" relativeHeight="251691008" behindDoc="0" locked="0" layoutInCell="1" allowOverlap="1" wp14:anchorId="6D98514E" wp14:editId="6360336B">
                <wp:simplePos x="0" y="0"/>
                <wp:positionH relativeFrom="column">
                  <wp:posOffset>2057400</wp:posOffset>
                </wp:positionH>
                <wp:positionV relativeFrom="paragraph">
                  <wp:posOffset>1052195</wp:posOffset>
                </wp:positionV>
                <wp:extent cx="342900" cy="228600"/>
                <wp:effectExtent l="0" t="0" r="12700" b="0"/>
                <wp:wrapNone/>
                <wp:docPr id="19" name="Text Box 1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D4F43E" w14:textId="30267B11" w:rsidR="00977094" w:rsidRPr="0065530E" w:rsidRDefault="00977094" w:rsidP="0065530E">
                            <w:pPr>
                              <w:rPr>
                                <w:b/>
                                <w:sz w:val="16"/>
                                <w:szCs w:val="16"/>
                              </w:rPr>
                            </w:pPr>
                            <w:r w:rsidRPr="0065530E">
                              <w:rPr>
                                <w:b/>
                                <w:sz w:val="16"/>
                                <w:szCs w:val="16"/>
                              </w:rPr>
                              <w:t>22%</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left:0;text-align:left;margin-left:162pt;margin-top:82.85pt;width:27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" filled="f" stroked="f">
                <v:textbox inset=",0,0,0">
                  <w:txbxContent>
                    <w:p w14:paraId="59D4F43E" w14:textId="30267B11" w:rsidR="00977094" w:rsidRPr="0065530E" w:rsidRDefault="00977094" w:rsidP="0065530E">
                      <w:pPr>
                        <w:rPr>
                          <w:b/>
                          <w:sz w:val="16"/>
                          <w:szCs w:val="16"/>
                        </w:rPr>
                      </w:pPr>
                      <w:r w:rsidRPr="0065530E">
                        <w:rPr>
                          <w:b/>
                          <w:sz w:val="16"/>
                          <w:szCs w:val="16"/>
                        </w:rPr>
                        <w:t>22%</w:t>
                      </w:r>
                    </w:p>
                  </w:txbxContent>
                </v:textbox>
              </v:shape>
            </w:pict>
          </mc:Fallback>
        </mc:AlternateContent>
      </w:r>
      <w:r w:rsidR="000070A6">
        <w:rPr>
          <w:rFonts w:asciiTheme="majorHAnsi" w:hAnsiTheme="majorHAnsi"/>
        </w:rPr>
        <w:t xml:space="preserve">    </w:t>
      </w:r>
      <w:r w:rsidR="00943FB9">
        <w:rPr>
          <w:noProof/>
          <w:lang w:val="en-US"/>
        </w:rPr>
        <w:drawing>
          <wp:inline distT="0" distB="0" distL="0" distR="0" wp14:anchorId="5DD404D9" wp14:editId="4372DA36">
            <wp:extent cx="2509520" cy="2138680"/>
            <wp:effectExtent l="0" t="0" r="508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E1FE48A" w14:textId="77777777" w:rsidR="00C47451" w:rsidRDefault="00C47451" w:rsidP="00C47451">
      <w:pPr>
        <w:spacing w:after="120"/>
        <w:jc w:val="both"/>
        <w:rPr>
          <w:rFonts w:asciiTheme="majorHAnsi" w:hAnsiTheme="majorHAnsi"/>
        </w:rPr>
      </w:pPr>
    </w:p>
    <w:p w14:paraId="4F6F2A5D" w14:textId="1FA40CD1" w:rsidR="00231514" w:rsidRDefault="00231514" w:rsidP="00231514">
      <w:pPr>
        <w:spacing w:after="120"/>
        <w:jc w:val="both"/>
        <w:rPr>
          <w:rFonts w:asciiTheme="majorHAnsi" w:hAnsiTheme="majorHAnsi"/>
        </w:rPr>
      </w:pPr>
      <w:r w:rsidRPr="00BC7B57">
        <w:rPr>
          <w:rFonts w:asciiTheme="majorHAnsi" w:hAnsiTheme="majorHAnsi"/>
        </w:rPr>
        <w:t xml:space="preserve">Many respondents attributed these changes to the work of NGOs through the </w:t>
      </w:r>
      <w:r>
        <w:rPr>
          <w:rFonts w:asciiTheme="majorHAnsi" w:hAnsiTheme="majorHAnsi"/>
        </w:rPr>
        <w:t xml:space="preserve">efforts </w:t>
      </w:r>
      <w:r w:rsidRPr="00BC7B57">
        <w:rPr>
          <w:rFonts w:asciiTheme="majorHAnsi" w:hAnsiTheme="majorHAnsi"/>
        </w:rPr>
        <w:t>of village/camp hygiene promoters and</w:t>
      </w:r>
      <w:r>
        <w:rPr>
          <w:rFonts w:asciiTheme="majorHAnsi" w:hAnsiTheme="majorHAnsi"/>
        </w:rPr>
        <w:t xml:space="preserve"> through</w:t>
      </w:r>
      <w:r w:rsidRPr="00BC7B57">
        <w:rPr>
          <w:rFonts w:asciiTheme="majorHAnsi" w:hAnsiTheme="majorHAnsi"/>
        </w:rPr>
        <w:t xml:space="preserve"> distributions of sanitary protection materials. However, although almost all households in the IDP camps receive regular supplies of sanitary protection materials only half</w:t>
      </w:r>
      <w:r>
        <w:rPr>
          <w:rFonts w:asciiTheme="majorHAnsi" w:hAnsiTheme="majorHAnsi"/>
        </w:rPr>
        <w:t xml:space="preserve"> of the respondents in</w:t>
      </w:r>
      <w:r w:rsidRPr="00BC7B57">
        <w:rPr>
          <w:rFonts w:asciiTheme="majorHAnsi" w:hAnsiTheme="majorHAnsi"/>
        </w:rPr>
        <w:t xml:space="preserve"> villages have ever received any</w:t>
      </w:r>
      <w:r>
        <w:rPr>
          <w:rFonts w:asciiTheme="majorHAnsi" w:hAnsiTheme="majorHAnsi"/>
        </w:rPr>
        <w:t xml:space="preserve"> (51%)</w:t>
      </w:r>
      <w:r w:rsidRPr="00BC7B57">
        <w:rPr>
          <w:rFonts w:asciiTheme="majorHAnsi" w:hAnsiTheme="majorHAnsi"/>
        </w:rPr>
        <w:t xml:space="preserve"> which may explain why </w:t>
      </w:r>
      <w:r>
        <w:rPr>
          <w:rFonts w:asciiTheme="majorHAnsi" w:hAnsiTheme="majorHAnsi"/>
        </w:rPr>
        <w:t xml:space="preserve">greater </w:t>
      </w:r>
      <w:r w:rsidRPr="00BC7B57">
        <w:rPr>
          <w:rFonts w:asciiTheme="majorHAnsi" w:hAnsiTheme="majorHAnsi"/>
        </w:rPr>
        <w:t>behaviour change was reported in the IDP camps than villages.</w:t>
      </w:r>
    </w:p>
    <w:p w14:paraId="23877CB0" w14:textId="738C70D5" w:rsidR="00A20DED" w:rsidRPr="00A20DED" w:rsidRDefault="00A20DED" w:rsidP="00231514">
      <w:pPr>
        <w:spacing w:after="120"/>
        <w:jc w:val="both"/>
        <w:rPr>
          <w:rFonts w:asciiTheme="majorHAnsi" w:hAnsiTheme="majorHAnsi"/>
          <w:sz w:val="2"/>
          <w:szCs w:val="2"/>
        </w:rPr>
      </w:pPr>
      <w:r>
        <w:rPr>
          <w:noProof/>
          <w:lang w:val="en-US"/>
        </w:rPr>
        <w:drawing>
          <wp:anchor distT="0" distB="0" distL="114300" distR="114300" simplePos="0" relativeHeight="251728896" behindDoc="0" locked="0" layoutInCell="1" allowOverlap="1" wp14:anchorId="76B90BB2" wp14:editId="34F6ED40">
            <wp:simplePos x="0" y="0"/>
            <wp:positionH relativeFrom="column">
              <wp:posOffset>3200400</wp:posOffset>
            </wp:positionH>
            <wp:positionV relativeFrom="paragraph">
              <wp:posOffset>53340</wp:posOffset>
            </wp:positionV>
            <wp:extent cx="2738120" cy="2633980"/>
            <wp:effectExtent l="0" t="0" r="5080" b="7620"/>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p>
    <w:p w14:paraId="012517C7" w14:textId="40388722" w:rsidR="000070A6" w:rsidRDefault="00A20DED" w:rsidP="00C47451">
      <w:pPr>
        <w:spacing w:after="120"/>
        <w:jc w:val="both"/>
        <w:rPr>
          <w:rFonts w:asciiTheme="majorHAnsi" w:hAnsiTheme="majorHAnsi"/>
        </w:rPr>
      </w:pPr>
      <w:r w:rsidRPr="00292F1D">
        <w:rPr>
          <w:noProof/>
          <w:sz w:val="22"/>
          <w:szCs w:val="22"/>
          <w:lang w:val="en-US"/>
        </w:rPr>
        <w:drawing>
          <wp:anchor distT="0" distB="0" distL="114300" distR="114300" simplePos="0" relativeHeight="251695104" behindDoc="0" locked="0" layoutInCell="1" allowOverlap="1" wp14:anchorId="242997A5" wp14:editId="2907990E">
            <wp:simplePos x="0" y="0"/>
            <wp:positionH relativeFrom="column">
              <wp:align>left</wp:align>
            </wp:positionH>
            <wp:positionV relativeFrom="paragraph">
              <wp:posOffset>6985</wp:posOffset>
            </wp:positionV>
            <wp:extent cx="3086100" cy="2298700"/>
            <wp:effectExtent l="0" t="0" r="0" b="0"/>
            <wp:wrapTight wrapText="bothSides">
              <wp:wrapPolygon edited="0">
                <wp:start x="0" y="0"/>
                <wp:lineTo x="0" y="21242"/>
                <wp:lineTo x="21333" y="21242"/>
                <wp:lineTo x="21333"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p>
    <w:p w14:paraId="5560928B" w14:textId="4ABB8DAD" w:rsidR="00292F1D" w:rsidRDefault="00292F1D" w:rsidP="00C47451">
      <w:pPr>
        <w:spacing w:after="120"/>
        <w:jc w:val="both"/>
        <w:rPr>
          <w:rFonts w:asciiTheme="majorHAnsi" w:hAnsiTheme="majorHAnsi"/>
        </w:rPr>
      </w:pPr>
    </w:p>
    <w:p w14:paraId="422BC00B" w14:textId="77777777" w:rsidR="00231514" w:rsidRDefault="00231514" w:rsidP="00C47451">
      <w:pPr>
        <w:spacing w:after="120"/>
        <w:jc w:val="both"/>
        <w:rPr>
          <w:rFonts w:asciiTheme="majorHAnsi" w:hAnsiTheme="majorHAnsi"/>
        </w:rPr>
      </w:pPr>
    </w:p>
    <w:p w14:paraId="23733978" w14:textId="77777777" w:rsidR="00231514" w:rsidRDefault="00231514" w:rsidP="00C47451">
      <w:pPr>
        <w:spacing w:after="120"/>
        <w:jc w:val="both"/>
        <w:rPr>
          <w:rFonts w:asciiTheme="majorHAnsi" w:hAnsiTheme="majorHAnsi"/>
        </w:rPr>
      </w:pPr>
    </w:p>
    <w:p w14:paraId="16707169" w14:textId="77777777" w:rsidR="00231514" w:rsidRDefault="00231514" w:rsidP="00C47451">
      <w:pPr>
        <w:spacing w:after="120"/>
        <w:jc w:val="both"/>
        <w:rPr>
          <w:rFonts w:asciiTheme="majorHAnsi" w:hAnsiTheme="majorHAnsi"/>
        </w:rPr>
      </w:pPr>
    </w:p>
    <w:p w14:paraId="72BB8130" w14:textId="77777777" w:rsidR="00231514" w:rsidRDefault="00231514" w:rsidP="00C47451">
      <w:pPr>
        <w:spacing w:after="120"/>
        <w:jc w:val="both"/>
        <w:rPr>
          <w:rFonts w:asciiTheme="majorHAnsi" w:hAnsiTheme="majorHAnsi"/>
        </w:rPr>
      </w:pPr>
    </w:p>
    <w:p w14:paraId="1E58098C" w14:textId="77777777" w:rsidR="00231514" w:rsidRDefault="00231514" w:rsidP="00C47451">
      <w:pPr>
        <w:spacing w:after="120"/>
        <w:jc w:val="both"/>
        <w:rPr>
          <w:rFonts w:asciiTheme="majorHAnsi" w:hAnsiTheme="majorHAnsi"/>
        </w:rPr>
      </w:pPr>
    </w:p>
    <w:p w14:paraId="3273041F" w14:textId="77777777" w:rsidR="00231514" w:rsidRDefault="00231514" w:rsidP="00C47451">
      <w:pPr>
        <w:spacing w:after="120"/>
        <w:jc w:val="both"/>
        <w:rPr>
          <w:rFonts w:asciiTheme="majorHAnsi" w:hAnsiTheme="majorHAnsi"/>
        </w:rPr>
      </w:pPr>
    </w:p>
    <w:p w14:paraId="0171DEF3" w14:textId="77777777" w:rsidR="00231514" w:rsidRDefault="00231514" w:rsidP="00C47451">
      <w:pPr>
        <w:spacing w:after="120"/>
        <w:jc w:val="both"/>
        <w:rPr>
          <w:rFonts w:asciiTheme="majorHAnsi" w:hAnsiTheme="majorHAnsi"/>
        </w:rPr>
      </w:pPr>
    </w:p>
    <w:p w14:paraId="0E00C492" w14:textId="6E98ADD6" w:rsidR="00231514" w:rsidRDefault="00231514" w:rsidP="00C47451">
      <w:pPr>
        <w:spacing w:after="120"/>
        <w:jc w:val="both"/>
        <w:rPr>
          <w:rFonts w:asciiTheme="majorHAnsi" w:hAnsiTheme="majorHAnsi"/>
        </w:rPr>
      </w:pPr>
      <w:r>
        <w:rPr>
          <w:noProof/>
          <w:lang w:val="en-US"/>
        </w:rPr>
        <w:drawing>
          <wp:anchor distT="0" distB="0" distL="114300" distR="114300" simplePos="0" relativeHeight="251727872" behindDoc="0" locked="0" layoutInCell="1" allowOverlap="1" wp14:anchorId="72E8F205" wp14:editId="7251D4EA">
            <wp:simplePos x="0" y="0"/>
            <wp:positionH relativeFrom="column">
              <wp:posOffset>2743200</wp:posOffset>
            </wp:positionH>
            <wp:positionV relativeFrom="paragraph">
              <wp:posOffset>109220</wp:posOffset>
            </wp:positionV>
            <wp:extent cx="3423920" cy="2514600"/>
            <wp:effectExtent l="0" t="0" r="5080" b="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p>
    <w:p w14:paraId="3BFDBC27" w14:textId="6E5438F8" w:rsidR="00730973" w:rsidRDefault="002E4883" w:rsidP="00C47451">
      <w:pPr>
        <w:spacing w:after="120"/>
        <w:jc w:val="both"/>
        <w:rPr>
          <w:rFonts w:asciiTheme="majorHAnsi" w:hAnsiTheme="majorHAnsi"/>
        </w:rPr>
      </w:pPr>
      <w:r>
        <w:rPr>
          <w:rFonts w:asciiTheme="majorHAnsi" w:hAnsiTheme="majorHAnsi"/>
        </w:rPr>
        <w:t xml:space="preserve">When questioned about their preference for sanitary protection, there was a sight difference between the IDP camps and the villages. However, both forms of protection are relevant to the context and should agencies consider distributions in the future, the choice of both types should be provided. </w:t>
      </w:r>
      <w:r w:rsidR="00231514">
        <w:rPr>
          <w:rFonts w:asciiTheme="majorHAnsi" w:hAnsiTheme="majorHAnsi"/>
        </w:rPr>
        <w:t xml:space="preserve">This has already been recognised by WASH Cluster </w:t>
      </w:r>
      <w:proofErr w:type="gramStart"/>
      <w:r w:rsidR="00231514">
        <w:rPr>
          <w:rFonts w:asciiTheme="majorHAnsi" w:hAnsiTheme="majorHAnsi"/>
        </w:rPr>
        <w:t>partners</w:t>
      </w:r>
      <w:proofErr w:type="gramEnd"/>
      <w:r w:rsidR="00231514">
        <w:rPr>
          <w:rFonts w:asciiTheme="majorHAnsi" w:hAnsiTheme="majorHAnsi"/>
        </w:rPr>
        <w:t xml:space="preserve"> as future distributions of consumables will most probably be provided through a voucher system ensuring beneficiaries have a choice.</w:t>
      </w:r>
    </w:p>
    <w:p w14:paraId="2EB4EF7C" w14:textId="0EAB27FB" w:rsidR="00231514" w:rsidRDefault="00231514" w:rsidP="00C47451">
      <w:pPr>
        <w:spacing w:after="120"/>
        <w:jc w:val="both"/>
        <w:rPr>
          <w:rFonts w:asciiTheme="majorHAnsi" w:hAnsiTheme="majorHAnsi"/>
        </w:rPr>
      </w:pPr>
      <w:r>
        <w:rPr>
          <w:rFonts w:asciiTheme="majorHAnsi" w:hAnsiTheme="majorHAnsi"/>
        </w:rPr>
        <w:t xml:space="preserve">When questioned about women’s behaviour when sanitary protection </w:t>
      </w:r>
      <w:r w:rsidR="00205C90">
        <w:rPr>
          <w:rFonts w:asciiTheme="majorHAnsi" w:hAnsiTheme="majorHAnsi"/>
        </w:rPr>
        <w:t xml:space="preserve">consumables </w:t>
      </w:r>
      <w:r>
        <w:rPr>
          <w:rFonts w:asciiTheme="majorHAnsi" w:hAnsiTheme="majorHAnsi"/>
        </w:rPr>
        <w:t>are exhausted, it was interesting to learn that over a third of women purchase more. This group of women display a clear preference for sanitary napkins rather than the traditional cloths.</w:t>
      </w:r>
    </w:p>
    <w:p w14:paraId="1027FA57" w14:textId="2925BFDB" w:rsidR="00730973" w:rsidRDefault="00205C90" w:rsidP="00C47451">
      <w:pPr>
        <w:spacing w:after="120"/>
        <w:jc w:val="both"/>
        <w:rPr>
          <w:rFonts w:asciiTheme="majorHAnsi" w:hAnsiTheme="majorHAnsi"/>
        </w:rPr>
      </w:pPr>
      <w:r>
        <w:rPr>
          <w:noProof/>
          <w:lang w:val="en-US"/>
        </w:rPr>
        <w:drawing>
          <wp:anchor distT="0" distB="0" distL="114300" distR="114300" simplePos="0" relativeHeight="251729920" behindDoc="0" locked="0" layoutInCell="1" allowOverlap="1" wp14:anchorId="1F8BD16D" wp14:editId="7FD118EF">
            <wp:simplePos x="0" y="0"/>
            <wp:positionH relativeFrom="column">
              <wp:posOffset>3086100</wp:posOffset>
            </wp:positionH>
            <wp:positionV relativeFrom="paragraph">
              <wp:posOffset>260985</wp:posOffset>
            </wp:positionV>
            <wp:extent cx="3002280" cy="2743200"/>
            <wp:effectExtent l="0" t="0" r="0" b="0"/>
            <wp:wrapNone/>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p>
    <w:p w14:paraId="070DEAF6" w14:textId="5A76E373" w:rsidR="000070A6" w:rsidRPr="00C47451" w:rsidRDefault="00205C90" w:rsidP="00C47451">
      <w:pPr>
        <w:spacing w:after="120"/>
        <w:jc w:val="both"/>
        <w:rPr>
          <w:rFonts w:asciiTheme="majorHAnsi" w:hAnsiTheme="majorHAnsi"/>
        </w:rPr>
      </w:pPr>
      <w:r>
        <w:rPr>
          <w:noProof/>
          <w:lang w:val="en-US"/>
        </w:rPr>
        <w:drawing>
          <wp:anchor distT="0" distB="0" distL="114300" distR="114300" simplePos="0" relativeHeight="251694080" behindDoc="0" locked="0" layoutInCell="1" allowOverlap="1" wp14:anchorId="45262E42" wp14:editId="63E9E890">
            <wp:simplePos x="0" y="0"/>
            <wp:positionH relativeFrom="column">
              <wp:align>left</wp:align>
            </wp:positionH>
            <wp:positionV relativeFrom="paragraph">
              <wp:align>bottom</wp:align>
            </wp:positionV>
            <wp:extent cx="3086100" cy="2857500"/>
            <wp:effectExtent l="0" t="0" r="0" b="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p>
    <w:p w14:paraId="31B561F3" w14:textId="77777777" w:rsidR="00205C90" w:rsidRDefault="00205C90">
      <w:pPr>
        <w:rPr>
          <w:rFonts w:asciiTheme="majorHAnsi" w:eastAsiaTheme="majorEastAsia" w:hAnsiTheme="majorHAnsi" w:cstheme="majorBidi"/>
          <w:b/>
          <w:bCs/>
          <w:color w:val="548DD4" w:themeColor="text2" w:themeTint="99"/>
          <w:sz w:val="32"/>
          <w:szCs w:val="32"/>
        </w:rPr>
      </w:pPr>
    </w:p>
    <w:p w14:paraId="167B6E03" w14:textId="77777777" w:rsidR="00205C90" w:rsidRDefault="00205C90">
      <w:pPr>
        <w:rPr>
          <w:rFonts w:asciiTheme="majorHAnsi" w:eastAsiaTheme="majorEastAsia" w:hAnsiTheme="majorHAnsi" w:cstheme="majorBidi"/>
          <w:b/>
          <w:bCs/>
          <w:color w:val="548DD4" w:themeColor="text2" w:themeTint="99"/>
          <w:sz w:val="32"/>
          <w:szCs w:val="32"/>
        </w:rPr>
      </w:pPr>
    </w:p>
    <w:p w14:paraId="18382E8D" w14:textId="77777777" w:rsidR="00205C90" w:rsidRDefault="00205C90">
      <w:pPr>
        <w:rPr>
          <w:rFonts w:asciiTheme="majorHAnsi" w:eastAsiaTheme="majorEastAsia" w:hAnsiTheme="majorHAnsi" w:cstheme="majorBidi"/>
          <w:b/>
          <w:bCs/>
          <w:color w:val="548DD4" w:themeColor="text2" w:themeTint="99"/>
          <w:sz w:val="32"/>
          <w:szCs w:val="32"/>
        </w:rPr>
      </w:pPr>
    </w:p>
    <w:p w14:paraId="3E5E994F" w14:textId="77777777" w:rsidR="00205C90" w:rsidRDefault="00205C90">
      <w:pPr>
        <w:rPr>
          <w:rFonts w:asciiTheme="majorHAnsi" w:eastAsiaTheme="majorEastAsia" w:hAnsiTheme="majorHAnsi" w:cstheme="majorBidi"/>
          <w:b/>
          <w:bCs/>
          <w:color w:val="548DD4" w:themeColor="text2" w:themeTint="99"/>
          <w:sz w:val="32"/>
          <w:szCs w:val="32"/>
        </w:rPr>
      </w:pPr>
    </w:p>
    <w:p w14:paraId="4E2C4D7B" w14:textId="77777777" w:rsidR="00205C90" w:rsidRDefault="00205C90">
      <w:pPr>
        <w:rPr>
          <w:rFonts w:asciiTheme="majorHAnsi" w:eastAsiaTheme="majorEastAsia" w:hAnsiTheme="majorHAnsi" w:cstheme="majorBidi"/>
          <w:b/>
          <w:bCs/>
          <w:color w:val="548DD4" w:themeColor="text2" w:themeTint="99"/>
          <w:sz w:val="32"/>
          <w:szCs w:val="32"/>
        </w:rPr>
      </w:pPr>
    </w:p>
    <w:p w14:paraId="14A54319" w14:textId="77777777" w:rsidR="00205C90" w:rsidRDefault="00205C90">
      <w:pPr>
        <w:rPr>
          <w:rFonts w:asciiTheme="majorHAnsi" w:eastAsiaTheme="majorEastAsia" w:hAnsiTheme="majorHAnsi" w:cstheme="majorBidi"/>
          <w:b/>
          <w:bCs/>
          <w:color w:val="548DD4" w:themeColor="text2" w:themeTint="99"/>
          <w:sz w:val="32"/>
          <w:szCs w:val="32"/>
        </w:rPr>
      </w:pPr>
    </w:p>
    <w:p w14:paraId="230BE0A3" w14:textId="77777777" w:rsidR="00205C90" w:rsidRDefault="00205C90">
      <w:pPr>
        <w:rPr>
          <w:rFonts w:asciiTheme="majorHAnsi" w:eastAsiaTheme="majorEastAsia" w:hAnsiTheme="majorHAnsi" w:cstheme="majorBidi"/>
          <w:b/>
          <w:bCs/>
          <w:color w:val="548DD4" w:themeColor="text2" w:themeTint="99"/>
          <w:sz w:val="32"/>
          <w:szCs w:val="32"/>
        </w:rPr>
      </w:pPr>
    </w:p>
    <w:p w14:paraId="19D1D1FE" w14:textId="6C0016C8" w:rsidR="001077B4" w:rsidRDefault="001077B4">
      <w:pPr>
        <w:rPr>
          <w:rFonts w:asciiTheme="majorHAnsi" w:eastAsiaTheme="majorEastAsia" w:hAnsiTheme="majorHAnsi" w:cstheme="majorBidi"/>
          <w:b/>
          <w:bCs/>
          <w:color w:val="548DD4" w:themeColor="text2" w:themeTint="99"/>
          <w:sz w:val="32"/>
          <w:szCs w:val="32"/>
        </w:rPr>
      </w:pPr>
    </w:p>
    <w:p w14:paraId="5CC44BA4" w14:textId="66BA153D" w:rsidR="008F0889" w:rsidRDefault="008F0889">
      <w:pPr>
        <w:rPr>
          <w:color w:val="548DD4" w:themeColor="text2" w:themeTint="99"/>
        </w:rPr>
      </w:pPr>
    </w:p>
    <w:p w14:paraId="0BCDC4FE" w14:textId="2C56AB75" w:rsidR="00887914" w:rsidRDefault="00887914">
      <w:pPr>
        <w:rPr>
          <w:color w:val="548DD4" w:themeColor="text2" w:themeTint="99"/>
        </w:rPr>
      </w:pPr>
    </w:p>
    <w:p w14:paraId="700AF31A" w14:textId="722FA6FA" w:rsidR="00887914" w:rsidRDefault="00887914">
      <w:pPr>
        <w:rPr>
          <w:color w:val="548DD4" w:themeColor="text2" w:themeTint="99"/>
        </w:rPr>
      </w:pPr>
    </w:p>
    <w:p w14:paraId="6F1D1A70" w14:textId="3A6445DB" w:rsidR="00887914" w:rsidRDefault="00887914">
      <w:pPr>
        <w:rPr>
          <w:color w:val="548DD4" w:themeColor="text2" w:themeTint="99"/>
        </w:rPr>
      </w:pPr>
    </w:p>
    <w:p w14:paraId="0F4A400D" w14:textId="77777777" w:rsidR="0002266D" w:rsidRDefault="0002266D">
      <w:pPr>
        <w:rPr>
          <w:color w:val="548DD4" w:themeColor="text2" w:themeTint="99"/>
        </w:rPr>
      </w:pPr>
    </w:p>
    <w:p w14:paraId="284A24DB" w14:textId="2B107CB8" w:rsidR="00EA0003" w:rsidRPr="0002266D" w:rsidRDefault="0002266D">
      <w:pPr>
        <w:rPr>
          <w:rFonts w:asciiTheme="majorHAnsi" w:hAnsiTheme="majorHAnsi"/>
        </w:rPr>
      </w:pPr>
      <w:r w:rsidRPr="0002266D">
        <w:rPr>
          <w:rFonts w:asciiTheme="majorHAnsi" w:hAnsiTheme="majorHAnsi"/>
        </w:rPr>
        <w:t>Regarding the disposal of used napkins</w:t>
      </w:r>
      <w:r>
        <w:rPr>
          <w:rFonts w:asciiTheme="majorHAnsi" w:hAnsiTheme="majorHAnsi"/>
        </w:rPr>
        <w:t xml:space="preserve">, those women who answered the question provided a safe answer. Although as it is likely that the napkins are first put in a plastic bag, the fact that a quarter of women throw them in the latrine adds complications to desludging. </w:t>
      </w:r>
      <w:r w:rsidRPr="0002266D">
        <w:rPr>
          <w:rFonts w:asciiTheme="majorHAnsi" w:hAnsiTheme="majorHAnsi"/>
        </w:rPr>
        <w:t xml:space="preserve"> </w:t>
      </w:r>
    </w:p>
    <w:p w14:paraId="3F74BD56" w14:textId="00EA7E35" w:rsidR="00EA0003" w:rsidRDefault="00EA0003">
      <w:pPr>
        <w:rPr>
          <w:color w:val="548DD4" w:themeColor="text2" w:themeTint="99"/>
        </w:rPr>
      </w:pPr>
    </w:p>
    <w:p w14:paraId="4A8C2D67" w14:textId="77777777" w:rsidR="00887914" w:rsidRDefault="00887914">
      <w:pPr>
        <w:rPr>
          <w:color w:val="548DD4" w:themeColor="text2" w:themeTint="99"/>
        </w:rPr>
      </w:pPr>
    </w:p>
    <w:p w14:paraId="7EB6A5DA" w14:textId="77777777" w:rsidR="00887914" w:rsidRDefault="00887914">
      <w:pPr>
        <w:rPr>
          <w:color w:val="548DD4" w:themeColor="text2" w:themeTint="99"/>
        </w:rPr>
      </w:pPr>
    </w:p>
    <w:p w14:paraId="40058971" w14:textId="10E5C351" w:rsidR="00887914" w:rsidRDefault="00887914">
      <w:pPr>
        <w:rPr>
          <w:color w:val="548DD4" w:themeColor="text2" w:themeTint="99"/>
        </w:rPr>
      </w:pPr>
    </w:p>
    <w:p w14:paraId="2F768799" w14:textId="77777777" w:rsidR="00887914" w:rsidRDefault="00887914">
      <w:pPr>
        <w:rPr>
          <w:color w:val="548DD4" w:themeColor="text2" w:themeTint="99"/>
        </w:rPr>
      </w:pPr>
    </w:p>
    <w:p w14:paraId="713CC05C" w14:textId="77777777" w:rsidR="00887914" w:rsidRDefault="00887914">
      <w:pPr>
        <w:rPr>
          <w:color w:val="548DD4" w:themeColor="text2" w:themeTint="99"/>
        </w:rPr>
      </w:pPr>
    </w:p>
    <w:p w14:paraId="5CA2A5A8" w14:textId="23C7A0C2" w:rsidR="00062E63" w:rsidRDefault="00062E63">
      <w:pPr>
        <w:rPr>
          <w:rFonts w:asciiTheme="majorHAnsi" w:eastAsiaTheme="majorEastAsia" w:hAnsiTheme="majorHAnsi" w:cstheme="majorBidi"/>
          <w:b/>
          <w:bCs/>
          <w:color w:val="548DD4" w:themeColor="text2" w:themeTint="99"/>
          <w:sz w:val="32"/>
          <w:szCs w:val="32"/>
        </w:rPr>
      </w:pPr>
      <w:r>
        <w:rPr>
          <w:rFonts w:asciiTheme="majorHAnsi" w:eastAsiaTheme="majorEastAsia" w:hAnsiTheme="majorHAnsi" w:cstheme="majorBidi"/>
          <w:b/>
          <w:bCs/>
          <w:color w:val="548DD4" w:themeColor="text2" w:themeTint="99"/>
          <w:sz w:val="32"/>
          <w:szCs w:val="32"/>
        </w:rPr>
        <w:br w:type="page"/>
      </w:r>
    </w:p>
    <w:p w14:paraId="3C6EE7AD" w14:textId="3DA5140C" w:rsidR="00887914" w:rsidRPr="00B65E8D" w:rsidRDefault="00062E63" w:rsidP="00B65E8D">
      <w:pPr>
        <w:pStyle w:val="Heading2"/>
        <w:spacing w:after="120"/>
        <w:rPr>
          <w:color w:val="548DD4" w:themeColor="text2" w:themeTint="99"/>
          <w:sz w:val="28"/>
          <w:szCs w:val="28"/>
        </w:rPr>
      </w:pPr>
      <w:bookmarkStart w:id="61" w:name="_Toc294273154"/>
      <w:r w:rsidRPr="00B65E8D">
        <w:rPr>
          <w:color w:val="548DD4" w:themeColor="text2" w:themeTint="99"/>
          <w:sz w:val="28"/>
          <w:szCs w:val="28"/>
        </w:rPr>
        <w:t>H</w:t>
      </w:r>
      <w:r w:rsidR="00B65E8D" w:rsidRPr="00B65E8D">
        <w:rPr>
          <w:color w:val="548DD4" w:themeColor="text2" w:themeTint="99"/>
          <w:sz w:val="28"/>
          <w:szCs w:val="28"/>
        </w:rPr>
        <w:t>OUSEHOLD SANITARY SURVEY</w:t>
      </w:r>
      <w:bookmarkEnd w:id="61"/>
    </w:p>
    <w:p w14:paraId="26043A14" w14:textId="77777777" w:rsidR="00001813" w:rsidRDefault="00001813">
      <w:pPr>
        <w:rPr>
          <w:rFonts w:asciiTheme="majorHAnsi" w:hAnsiTheme="majorHAnsi"/>
        </w:rPr>
      </w:pPr>
    </w:p>
    <w:p w14:paraId="151F9B4A" w14:textId="38E1B60E" w:rsidR="00CF06A3" w:rsidRPr="00001813" w:rsidRDefault="00001813" w:rsidP="00001813">
      <w:pPr>
        <w:jc w:val="both"/>
        <w:rPr>
          <w:rFonts w:asciiTheme="majorHAnsi" w:hAnsiTheme="majorHAnsi"/>
        </w:rPr>
      </w:pPr>
      <w:r>
        <w:rPr>
          <w:rFonts w:asciiTheme="majorHAnsi" w:hAnsiTheme="majorHAnsi"/>
        </w:rPr>
        <w:t>A household sanitary survey</w:t>
      </w:r>
      <w:r w:rsidR="004E297C">
        <w:rPr>
          <w:rFonts w:asciiTheme="majorHAnsi" w:hAnsiTheme="majorHAnsi"/>
        </w:rPr>
        <w:t>,</w:t>
      </w:r>
      <w:r>
        <w:rPr>
          <w:rFonts w:asciiTheme="majorHAnsi" w:hAnsiTheme="majorHAnsi"/>
        </w:rPr>
        <w:t xml:space="preserve"> </w:t>
      </w:r>
      <w:r w:rsidR="004E297C">
        <w:rPr>
          <w:rFonts w:asciiTheme="majorHAnsi" w:hAnsiTheme="majorHAnsi"/>
        </w:rPr>
        <w:t xml:space="preserve">which looked at 14 sanitary risks, </w:t>
      </w:r>
      <w:r>
        <w:rPr>
          <w:rFonts w:asciiTheme="majorHAnsi" w:hAnsiTheme="majorHAnsi"/>
        </w:rPr>
        <w:t>was conducted in each of the 428 respondent households to triangu</w:t>
      </w:r>
      <w:r w:rsidR="004E297C">
        <w:rPr>
          <w:rFonts w:asciiTheme="majorHAnsi" w:hAnsiTheme="majorHAnsi"/>
        </w:rPr>
        <w:t>late information reported from</w:t>
      </w:r>
      <w:r>
        <w:rPr>
          <w:rFonts w:asciiTheme="majorHAnsi" w:hAnsiTheme="majorHAnsi"/>
        </w:rPr>
        <w:t xml:space="preserve"> the survey questionnaire</w:t>
      </w:r>
      <w:r w:rsidR="007342C9">
        <w:rPr>
          <w:rFonts w:asciiTheme="majorHAnsi" w:hAnsiTheme="majorHAnsi"/>
        </w:rPr>
        <w:t>, focus group discussions and informal interviews</w:t>
      </w:r>
      <w:r>
        <w:rPr>
          <w:rFonts w:asciiTheme="majorHAnsi" w:hAnsiTheme="majorHAnsi"/>
        </w:rPr>
        <w:t xml:space="preserve">. </w:t>
      </w:r>
      <w:r w:rsidR="004E297C">
        <w:rPr>
          <w:rFonts w:asciiTheme="majorHAnsi" w:hAnsiTheme="majorHAnsi"/>
        </w:rPr>
        <w:t xml:space="preserve">The sanitary risks were not weighted and therefore it should be noted that the severity of the hygiene risks are not equal. </w:t>
      </w:r>
    </w:p>
    <w:p w14:paraId="05BAB058" w14:textId="317F6FC6" w:rsidR="00062E63" w:rsidRDefault="00062E63">
      <w:pPr>
        <w:rPr>
          <w:rFonts w:asciiTheme="majorHAnsi" w:eastAsiaTheme="majorEastAsia" w:hAnsiTheme="majorHAnsi" w:cstheme="majorBidi"/>
          <w:b/>
          <w:bCs/>
          <w:color w:val="548DD4" w:themeColor="text2" w:themeTint="99"/>
          <w:sz w:val="32"/>
          <w:szCs w:val="32"/>
        </w:rPr>
      </w:pPr>
      <w:r>
        <w:rPr>
          <w:noProof/>
          <w:lang w:val="en-US"/>
        </w:rPr>
        <w:drawing>
          <wp:anchor distT="0" distB="0" distL="114300" distR="114300" simplePos="0" relativeHeight="251703296" behindDoc="0" locked="0" layoutInCell="1" allowOverlap="1" wp14:anchorId="19A51951" wp14:editId="708F67D7">
            <wp:simplePos x="0" y="0"/>
            <wp:positionH relativeFrom="column">
              <wp:posOffset>2400300</wp:posOffset>
            </wp:positionH>
            <wp:positionV relativeFrom="paragraph">
              <wp:posOffset>203835</wp:posOffset>
            </wp:positionV>
            <wp:extent cx="4000500" cy="3500120"/>
            <wp:effectExtent l="0" t="0" r="0" b="5080"/>
            <wp:wrapNone/>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p>
    <w:p w14:paraId="6BF58E07" w14:textId="0F0AEEFF" w:rsidR="00062E63" w:rsidRDefault="00062E63">
      <w:pPr>
        <w:rPr>
          <w:rFonts w:asciiTheme="majorHAnsi" w:eastAsiaTheme="majorEastAsia" w:hAnsiTheme="majorHAnsi" w:cstheme="majorBidi"/>
          <w:b/>
          <w:bCs/>
          <w:color w:val="548DD4" w:themeColor="text2" w:themeTint="99"/>
          <w:sz w:val="32"/>
          <w:szCs w:val="32"/>
        </w:rPr>
      </w:pPr>
      <w:r>
        <w:rPr>
          <w:noProof/>
          <w:lang w:val="en-US"/>
        </w:rPr>
        <w:drawing>
          <wp:inline distT="0" distB="0" distL="0" distR="0" wp14:anchorId="3420B94E" wp14:editId="724F3583">
            <wp:extent cx="2509520" cy="3489960"/>
            <wp:effectExtent l="0" t="0" r="508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A49FFF9" w14:textId="77777777" w:rsidR="00D72AE6" w:rsidRDefault="00D72AE6">
      <w:pPr>
        <w:rPr>
          <w:rFonts w:asciiTheme="majorHAnsi" w:hAnsiTheme="majorHAnsi"/>
        </w:rPr>
      </w:pPr>
    </w:p>
    <w:p w14:paraId="2DFAECC4" w14:textId="4D28615F" w:rsidR="00D72AE6" w:rsidRDefault="00D72AE6" w:rsidP="00CF5BB2">
      <w:pPr>
        <w:jc w:val="both"/>
        <w:rPr>
          <w:rFonts w:asciiTheme="majorHAnsi" w:hAnsiTheme="majorHAnsi"/>
        </w:rPr>
      </w:pPr>
      <w:r>
        <w:rPr>
          <w:rFonts w:asciiTheme="majorHAnsi" w:hAnsiTheme="majorHAnsi"/>
        </w:rPr>
        <w:t xml:space="preserve">Little differences were observed between respondents in IDP camps and those living in villages </w:t>
      </w:r>
      <w:r w:rsidR="00CF5BB2">
        <w:rPr>
          <w:rFonts w:asciiTheme="majorHAnsi" w:hAnsiTheme="majorHAnsi"/>
        </w:rPr>
        <w:t xml:space="preserve">although slightly more hygiene risks per household were observed in the villages. In particular, </w:t>
      </w:r>
      <w:r>
        <w:rPr>
          <w:rFonts w:asciiTheme="majorHAnsi" w:hAnsiTheme="majorHAnsi"/>
        </w:rPr>
        <w:t xml:space="preserve">the availability of soap and </w:t>
      </w:r>
      <w:r w:rsidR="00CF5BB2">
        <w:rPr>
          <w:rFonts w:asciiTheme="majorHAnsi" w:hAnsiTheme="majorHAnsi"/>
        </w:rPr>
        <w:t>the use of</w:t>
      </w:r>
      <w:r>
        <w:rPr>
          <w:rFonts w:asciiTheme="majorHAnsi" w:hAnsiTheme="majorHAnsi"/>
        </w:rPr>
        <w:t xml:space="preserve"> ceramic water filter</w:t>
      </w:r>
      <w:r w:rsidR="00CF5BB2">
        <w:rPr>
          <w:rFonts w:asciiTheme="majorHAnsi" w:hAnsiTheme="majorHAnsi"/>
        </w:rPr>
        <w:t xml:space="preserve">s were less </w:t>
      </w:r>
      <w:r>
        <w:rPr>
          <w:rFonts w:asciiTheme="majorHAnsi" w:hAnsiTheme="majorHAnsi"/>
        </w:rPr>
        <w:t xml:space="preserve">in the villages.   </w:t>
      </w:r>
    </w:p>
    <w:p w14:paraId="396CC83E" w14:textId="77777777" w:rsidR="006250EF" w:rsidRDefault="006250EF">
      <w:pPr>
        <w:rPr>
          <w:rFonts w:asciiTheme="majorHAnsi" w:hAnsiTheme="majorHAnsi"/>
        </w:rPr>
      </w:pPr>
    </w:p>
    <w:p w14:paraId="45DACADE" w14:textId="505A5CDA" w:rsidR="00AC04B3" w:rsidRDefault="00CF5BB2">
      <w:pPr>
        <w:rPr>
          <w:rFonts w:asciiTheme="majorHAnsi" w:hAnsiTheme="majorHAnsi"/>
        </w:rPr>
      </w:pPr>
      <w:r>
        <w:rPr>
          <w:noProof/>
          <w:lang w:val="en-US"/>
        </w:rPr>
        <w:drawing>
          <wp:anchor distT="0" distB="0" distL="114300" distR="114300" simplePos="0" relativeHeight="251731968" behindDoc="0" locked="0" layoutInCell="1" allowOverlap="1" wp14:anchorId="17EB0E9B" wp14:editId="5FB50BAA">
            <wp:simplePos x="0" y="0"/>
            <wp:positionH relativeFrom="column">
              <wp:posOffset>3771900</wp:posOffset>
            </wp:positionH>
            <wp:positionV relativeFrom="paragraph">
              <wp:posOffset>280035</wp:posOffset>
            </wp:positionV>
            <wp:extent cx="2286000" cy="2286000"/>
            <wp:effectExtent l="0" t="0" r="0" b="0"/>
            <wp:wrapNone/>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r w:rsidR="00AC04B3">
        <w:rPr>
          <w:noProof/>
          <w:lang w:val="en-US"/>
        </w:rPr>
        <w:drawing>
          <wp:inline distT="0" distB="0" distL="0" distR="0" wp14:anchorId="18153BE9" wp14:editId="7F23ACE6">
            <wp:extent cx="3657600" cy="2743200"/>
            <wp:effectExtent l="0" t="0" r="0" b="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5A57805" w14:textId="190B5CE3" w:rsidR="00AC04B3" w:rsidRPr="004E297C" w:rsidRDefault="00AC04B3">
      <w:pPr>
        <w:rPr>
          <w:rFonts w:asciiTheme="majorHAnsi" w:hAnsiTheme="majorHAnsi"/>
        </w:rPr>
      </w:pPr>
    </w:p>
    <w:p w14:paraId="1D4AB882" w14:textId="30127D36" w:rsidR="006250EF" w:rsidRPr="004E297C" w:rsidRDefault="006250EF">
      <w:pPr>
        <w:rPr>
          <w:rFonts w:asciiTheme="majorHAnsi" w:hAnsiTheme="majorHAnsi"/>
        </w:rPr>
      </w:pPr>
    </w:p>
    <w:p w14:paraId="7717AF21" w14:textId="062133F2" w:rsidR="000A1A13" w:rsidRDefault="000A1A13" w:rsidP="000A1A13">
      <w:pPr>
        <w:jc w:val="both"/>
        <w:rPr>
          <w:rFonts w:asciiTheme="majorHAnsi" w:hAnsiTheme="majorHAnsi"/>
        </w:rPr>
      </w:pPr>
      <w:r>
        <w:rPr>
          <w:rFonts w:asciiTheme="majorHAnsi" w:hAnsiTheme="majorHAnsi"/>
        </w:rPr>
        <w:t xml:space="preserve">For </w:t>
      </w:r>
      <w:r w:rsidRPr="000A1A13">
        <w:rPr>
          <w:rFonts w:asciiTheme="majorHAnsi" w:hAnsiTheme="majorHAnsi"/>
        </w:rPr>
        <w:t xml:space="preserve">the next phase of </w:t>
      </w:r>
      <w:r>
        <w:rPr>
          <w:rFonts w:asciiTheme="majorHAnsi" w:hAnsiTheme="majorHAnsi"/>
        </w:rPr>
        <w:t xml:space="preserve">project </w:t>
      </w:r>
      <w:r w:rsidRPr="000A1A13">
        <w:rPr>
          <w:rFonts w:asciiTheme="majorHAnsi" w:hAnsiTheme="majorHAnsi"/>
        </w:rPr>
        <w:t>implementation (Phase 4),</w:t>
      </w:r>
      <w:r>
        <w:rPr>
          <w:rFonts w:asciiTheme="majorHAnsi" w:hAnsiTheme="majorHAnsi"/>
        </w:rPr>
        <w:t xml:space="preserve"> output indicator 4.1 assesses the percentage of beneficiaries that practice safe water management in the home. To set the baseline indicator, 4 sanitary risks from the household sanitary survey were used; </w:t>
      </w:r>
      <w:r w:rsidRPr="000A1A13">
        <w:rPr>
          <w:rFonts w:asciiTheme="majorHAnsi" w:hAnsiTheme="majorHAnsi"/>
        </w:rPr>
        <w:t>Use of a ceramic water filter</w:t>
      </w:r>
      <w:r>
        <w:rPr>
          <w:rFonts w:asciiTheme="majorHAnsi" w:hAnsiTheme="majorHAnsi"/>
        </w:rPr>
        <w:t>, covering drinking water containers, whether a separate container is used for drinking water and whether it is possible to extract drinking water safely (shown in ‘orange’ in the chart presenting sanitary risks. If a sanitary risk was observed for any of these 4 risks, the household was judged NOT to be practicing safe water use behaviours. The household sanitary survey therefore determined that only 45% of respondents are currently practicing safe water use behaviours in the household.</w:t>
      </w:r>
    </w:p>
    <w:p w14:paraId="556B0810" w14:textId="77777777" w:rsidR="000A1A13" w:rsidRDefault="000A1A13" w:rsidP="000A1A13">
      <w:pPr>
        <w:jc w:val="both"/>
        <w:rPr>
          <w:rFonts w:asciiTheme="majorHAnsi" w:hAnsiTheme="majorHAnsi"/>
        </w:rPr>
      </w:pPr>
    </w:p>
    <w:p w14:paraId="42D26E21" w14:textId="7331212D" w:rsidR="000A1A13" w:rsidRPr="000A1A13" w:rsidRDefault="000A1A13" w:rsidP="000A1A13">
      <w:pPr>
        <w:jc w:val="both"/>
        <w:rPr>
          <w:rFonts w:asciiTheme="majorHAnsi" w:hAnsiTheme="majorHAnsi"/>
        </w:rPr>
      </w:pPr>
      <w:r>
        <w:rPr>
          <w:rFonts w:asciiTheme="majorHAnsi" w:hAnsiTheme="majorHAnsi"/>
        </w:rPr>
        <w:t>Of serious concern is respondents</w:t>
      </w:r>
      <w:r w:rsidR="00582CB5">
        <w:rPr>
          <w:rFonts w:asciiTheme="majorHAnsi" w:hAnsiTheme="majorHAnsi"/>
        </w:rPr>
        <w:t>’</w:t>
      </w:r>
      <w:r>
        <w:rPr>
          <w:rFonts w:asciiTheme="majorHAnsi" w:hAnsiTheme="majorHAnsi"/>
        </w:rPr>
        <w:t xml:space="preserve"> behaviour relating to food hygiene</w:t>
      </w:r>
      <w:r w:rsidR="00D767B6">
        <w:rPr>
          <w:rFonts w:asciiTheme="majorHAnsi" w:hAnsiTheme="majorHAnsi"/>
        </w:rPr>
        <w:t xml:space="preserve"> (shown in ‘blue’ on the chart above presenting sanitary risks)</w:t>
      </w:r>
      <w:r>
        <w:rPr>
          <w:rFonts w:asciiTheme="majorHAnsi" w:hAnsiTheme="majorHAnsi"/>
        </w:rPr>
        <w:t>. As previously stated, food covers were only observed in 17% of households. The household sanitary survey confirm</w:t>
      </w:r>
      <w:r w:rsidR="00582CB5">
        <w:rPr>
          <w:rFonts w:asciiTheme="majorHAnsi" w:hAnsiTheme="majorHAnsi"/>
        </w:rPr>
        <w:t>ed</w:t>
      </w:r>
      <w:r>
        <w:rPr>
          <w:rFonts w:asciiTheme="majorHAnsi" w:hAnsiTheme="majorHAnsi"/>
        </w:rPr>
        <w:t xml:space="preserve"> this and also noted that during the survey </w:t>
      </w:r>
      <w:r w:rsidR="00582CB5">
        <w:rPr>
          <w:rFonts w:asciiTheme="majorHAnsi" w:hAnsiTheme="majorHAnsi"/>
        </w:rPr>
        <w:t xml:space="preserve">that uncovered cooked food was observed in 69% of households. Future hygiene promotion sessions and home visits should give greater emphasis to </w:t>
      </w:r>
      <w:r w:rsidR="00FE0994">
        <w:rPr>
          <w:rFonts w:asciiTheme="majorHAnsi" w:hAnsiTheme="majorHAnsi"/>
        </w:rPr>
        <w:t>food hygiene in the next phase of implementation.</w:t>
      </w:r>
      <w:r>
        <w:rPr>
          <w:rFonts w:asciiTheme="majorHAnsi" w:hAnsiTheme="majorHAnsi"/>
        </w:rPr>
        <w:t xml:space="preserve"> </w:t>
      </w:r>
    </w:p>
    <w:p w14:paraId="663E9536" w14:textId="77777777" w:rsidR="00CF5BB2" w:rsidRDefault="00CF5BB2">
      <w:pPr>
        <w:rPr>
          <w:noProof/>
          <w:lang w:val="en-US"/>
        </w:rPr>
      </w:pPr>
    </w:p>
    <w:p w14:paraId="5C3F159C" w14:textId="77777777" w:rsidR="00001813" w:rsidRDefault="00001813" w:rsidP="0038779F">
      <w:pPr>
        <w:pStyle w:val="Heading1"/>
        <w:rPr>
          <w:color w:val="548DD4" w:themeColor="text2" w:themeTint="99"/>
        </w:rPr>
      </w:pPr>
      <w:bookmarkStart w:id="62" w:name="_Toc292703958"/>
      <w:bookmarkStart w:id="63" w:name="_Toc292704176"/>
    </w:p>
    <w:p w14:paraId="03B83A19" w14:textId="70AA6DF5" w:rsidR="00001813" w:rsidRDefault="005C28F7" w:rsidP="00001813">
      <w:pPr>
        <w:pStyle w:val="Heading1"/>
        <w:spacing w:before="0"/>
        <w:rPr>
          <w:color w:val="548DD4" w:themeColor="text2" w:themeTint="99"/>
        </w:rPr>
      </w:pPr>
      <w:bookmarkStart w:id="64" w:name="_Toc294273155"/>
      <w:r>
        <w:rPr>
          <w:color w:val="548DD4" w:themeColor="text2" w:themeTint="99"/>
        </w:rPr>
        <w:t>06</w:t>
      </w:r>
      <w:r w:rsidR="00254C55">
        <w:rPr>
          <w:color w:val="548DD4" w:themeColor="text2" w:themeTint="99"/>
        </w:rPr>
        <w:tab/>
      </w:r>
      <w:r w:rsidR="0038779F" w:rsidRPr="0038779F">
        <w:rPr>
          <w:color w:val="548DD4" w:themeColor="text2" w:themeTint="99"/>
        </w:rPr>
        <w:t>Conclusion</w:t>
      </w:r>
      <w:bookmarkEnd w:id="62"/>
      <w:bookmarkEnd w:id="63"/>
      <w:bookmarkEnd w:id="64"/>
    </w:p>
    <w:p w14:paraId="168A8799" w14:textId="77777777" w:rsidR="00001813" w:rsidRPr="004E297C" w:rsidRDefault="00001813" w:rsidP="00001813">
      <w:pPr>
        <w:pStyle w:val="Heading1"/>
        <w:spacing w:before="0"/>
        <w:rPr>
          <w:color w:val="548DD4" w:themeColor="text2" w:themeTint="99"/>
          <w:sz w:val="24"/>
          <w:szCs w:val="24"/>
        </w:rPr>
      </w:pPr>
    </w:p>
    <w:p w14:paraId="3A1FEF00" w14:textId="09EC2995" w:rsidR="004D606C" w:rsidRPr="003A03C1" w:rsidRDefault="00FB5A32" w:rsidP="003A03C1">
      <w:pPr>
        <w:jc w:val="both"/>
        <w:rPr>
          <w:rFonts w:asciiTheme="majorHAnsi" w:hAnsiTheme="majorHAnsi"/>
        </w:rPr>
      </w:pPr>
      <w:r w:rsidRPr="003A03C1">
        <w:rPr>
          <w:rFonts w:asciiTheme="majorHAnsi" w:hAnsiTheme="majorHAnsi"/>
        </w:rPr>
        <w:t>Although WASH agencies have been actively promoting improved hygiene behaviours in the target area for almost 3 years, using a limited range of messaging, both knowledge and subsequently safe hygiene practices remain</w:t>
      </w:r>
      <w:r w:rsidR="00572CE2" w:rsidRPr="003A03C1">
        <w:rPr>
          <w:rFonts w:asciiTheme="majorHAnsi" w:hAnsiTheme="majorHAnsi"/>
        </w:rPr>
        <w:t>s</w:t>
      </w:r>
      <w:r w:rsidRPr="003A03C1">
        <w:rPr>
          <w:rFonts w:asciiTheme="majorHAnsi" w:hAnsiTheme="majorHAnsi"/>
        </w:rPr>
        <w:t xml:space="preserve"> very low when compared to similar WASH projects conducted in other parts of Myanmar in both emergency and development settings. </w:t>
      </w:r>
      <w:r w:rsidR="004D606C" w:rsidRPr="003A03C1">
        <w:rPr>
          <w:rFonts w:asciiTheme="majorHAnsi" w:hAnsiTheme="majorHAnsi"/>
        </w:rPr>
        <w:t>A workshop entitled ‘behaviour Change in the Rakhine Context’ facilitated by Oxfam GB in late 2011, attended by field staff from 12 UN/NGO agencies (mainly hygiene promoters) working in central Rakhine on post-</w:t>
      </w:r>
      <w:proofErr w:type="spellStart"/>
      <w:r w:rsidR="004D606C" w:rsidRPr="003A03C1">
        <w:rPr>
          <w:rFonts w:asciiTheme="majorHAnsi" w:hAnsiTheme="majorHAnsi"/>
        </w:rPr>
        <w:t>Giri</w:t>
      </w:r>
      <w:proofErr w:type="spellEnd"/>
      <w:r w:rsidR="004D606C" w:rsidRPr="003A03C1">
        <w:rPr>
          <w:rFonts w:asciiTheme="majorHAnsi" w:hAnsiTheme="majorHAnsi"/>
        </w:rPr>
        <w:t xml:space="preserve"> cyclone projects and </w:t>
      </w:r>
      <w:r w:rsidR="00572CE2" w:rsidRPr="003A03C1">
        <w:rPr>
          <w:rFonts w:asciiTheme="majorHAnsi" w:hAnsiTheme="majorHAnsi"/>
        </w:rPr>
        <w:t xml:space="preserve">in </w:t>
      </w:r>
      <w:r w:rsidR="004D606C" w:rsidRPr="003A03C1">
        <w:rPr>
          <w:rFonts w:asciiTheme="majorHAnsi" w:hAnsiTheme="majorHAnsi"/>
        </w:rPr>
        <w:t>northern Rakhine State (</w:t>
      </w:r>
      <w:proofErr w:type="spellStart"/>
      <w:r w:rsidR="004D606C" w:rsidRPr="003A03C1">
        <w:rPr>
          <w:rFonts w:asciiTheme="majorHAnsi" w:hAnsiTheme="majorHAnsi"/>
        </w:rPr>
        <w:t>nRS</w:t>
      </w:r>
      <w:proofErr w:type="spellEnd"/>
      <w:r w:rsidR="004D606C" w:rsidRPr="003A03C1">
        <w:rPr>
          <w:rFonts w:asciiTheme="majorHAnsi" w:hAnsiTheme="majorHAnsi"/>
        </w:rPr>
        <w:t xml:space="preserve">) on the chronic emergency situation there, revealed that field staff believed the Muslims living in these parts of Rakhine State to be an extremely difficult group to achieve behaviour change with. KAP surveys conducted in this period tended to show higher levels of knowledge </w:t>
      </w:r>
      <w:r w:rsidR="00572CE2" w:rsidRPr="003A03C1">
        <w:rPr>
          <w:rFonts w:asciiTheme="majorHAnsi" w:hAnsiTheme="majorHAnsi"/>
        </w:rPr>
        <w:t xml:space="preserve">to this survey </w:t>
      </w:r>
      <w:r w:rsidR="004D606C" w:rsidRPr="003A03C1">
        <w:rPr>
          <w:rFonts w:asciiTheme="majorHAnsi" w:hAnsiTheme="majorHAnsi"/>
        </w:rPr>
        <w:t xml:space="preserve">but similar </w:t>
      </w:r>
      <w:r w:rsidR="00572CE2" w:rsidRPr="003A03C1">
        <w:rPr>
          <w:rFonts w:asciiTheme="majorHAnsi" w:hAnsiTheme="majorHAnsi"/>
        </w:rPr>
        <w:t>low-</w:t>
      </w:r>
      <w:r w:rsidR="004D606C" w:rsidRPr="003A03C1">
        <w:rPr>
          <w:rFonts w:asciiTheme="majorHAnsi" w:hAnsiTheme="majorHAnsi"/>
        </w:rPr>
        <w:t>levels of practices.</w:t>
      </w:r>
    </w:p>
    <w:p w14:paraId="5BFC1C7B" w14:textId="77777777" w:rsidR="004D606C" w:rsidRPr="003A03C1" w:rsidRDefault="004D606C" w:rsidP="003A03C1">
      <w:pPr>
        <w:jc w:val="both"/>
        <w:rPr>
          <w:rFonts w:asciiTheme="majorHAnsi" w:hAnsiTheme="majorHAnsi"/>
        </w:rPr>
      </w:pPr>
    </w:p>
    <w:p w14:paraId="5B80ABFB" w14:textId="46FBA07C" w:rsidR="00001813" w:rsidRPr="003A03C1" w:rsidRDefault="004D606C" w:rsidP="003A03C1">
      <w:pPr>
        <w:jc w:val="both"/>
        <w:rPr>
          <w:rFonts w:asciiTheme="majorHAnsi" w:hAnsiTheme="majorHAnsi"/>
        </w:rPr>
      </w:pPr>
      <w:r w:rsidRPr="003A03C1">
        <w:rPr>
          <w:rFonts w:asciiTheme="majorHAnsi" w:hAnsiTheme="majorHAnsi"/>
        </w:rPr>
        <w:t xml:space="preserve">This particular target group are extremely conservative </w:t>
      </w:r>
      <w:r w:rsidR="00CB4403" w:rsidRPr="003A03C1">
        <w:rPr>
          <w:rFonts w:asciiTheme="majorHAnsi" w:hAnsiTheme="majorHAnsi"/>
        </w:rPr>
        <w:t>and resist</w:t>
      </w:r>
      <w:r w:rsidRPr="003A03C1">
        <w:rPr>
          <w:rFonts w:asciiTheme="majorHAnsi" w:hAnsiTheme="majorHAnsi"/>
        </w:rPr>
        <w:t xml:space="preserve"> any change </w:t>
      </w:r>
      <w:r w:rsidR="00CB4403" w:rsidRPr="003A03C1">
        <w:rPr>
          <w:rFonts w:asciiTheme="majorHAnsi" w:hAnsiTheme="majorHAnsi"/>
        </w:rPr>
        <w:t xml:space="preserve">from ‘outsiders’. Efforts to work together with Mullahs and other religious figures as agents of change </w:t>
      </w:r>
      <w:r w:rsidR="00572CE2" w:rsidRPr="003A03C1">
        <w:rPr>
          <w:rFonts w:asciiTheme="majorHAnsi" w:hAnsiTheme="majorHAnsi"/>
        </w:rPr>
        <w:t xml:space="preserve">in the past have </w:t>
      </w:r>
      <w:r w:rsidR="00CB4403" w:rsidRPr="003A03C1">
        <w:rPr>
          <w:rFonts w:asciiTheme="majorHAnsi" w:hAnsiTheme="majorHAnsi"/>
        </w:rPr>
        <w:t>also met with limited success. It is therefore believed that the greatest long-term change</w:t>
      </w:r>
      <w:r w:rsidR="00572CE2" w:rsidRPr="003A03C1">
        <w:rPr>
          <w:rFonts w:asciiTheme="majorHAnsi" w:hAnsiTheme="majorHAnsi"/>
        </w:rPr>
        <w:t xml:space="preserve">s in </w:t>
      </w:r>
      <w:r w:rsidR="00CB4403" w:rsidRPr="003A03C1">
        <w:rPr>
          <w:rFonts w:asciiTheme="majorHAnsi" w:hAnsiTheme="majorHAnsi"/>
        </w:rPr>
        <w:t>hygiene behaviours will most</w:t>
      </w:r>
      <w:r w:rsidR="00572CE2" w:rsidRPr="003A03C1">
        <w:rPr>
          <w:rFonts w:asciiTheme="majorHAnsi" w:hAnsiTheme="majorHAnsi"/>
        </w:rPr>
        <w:t xml:space="preserve"> likely </w:t>
      </w:r>
      <w:r w:rsidR="00CB4403" w:rsidRPr="003A03C1">
        <w:rPr>
          <w:rFonts w:asciiTheme="majorHAnsi" w:hAnsiTheme="majorHAnsi"/>
        </w:rPr>
        <w:t>come from the younger generation. Consequently, it is recommended that WASH agencies in the target area invest in the youth of the target area</w:t>
      </w:r>
      <w:r w:rsidR="00572CE2" w:rsidRPr="003A03C1">
        <w:rPr>
          <w:rFonts w:asciiTheme="majorHAnsi" w:hAnsiTheme="majorHAnsi"/>
        </w:rPr>
        <w:t xml:space="preserve"> as well as working with adult for immediate results</w:t>
      </w:r>
      <w:r w:rsidR="00CB4403" w:rsidRPr="003A03C1">
        <w:rPr>
          <w:rFonts w:asciiTheme="majorHAnsi" w:hAnsiTheme="majorHAnsi"/>
        </w:rPr>
        <w:t>.</w:t>
      </w:r>
    </w:p>
    <w:p w14:paraId="1BB8FD78" w14:textId="77777777" w:rsidR="00CB4403" w:rsidRPr="003A03C1" w:rsidRDefault="00CB4403" w:rsidP="003A03C1">
      <w:pPr>
        <w:jc w:val="both"/>
        <w:rPr>
          <w:rFonts w:asciiTheme="majorHAnsi" w:hAnsiTheme="majorHAnsi"/>
        </w:rPr>
      </w:pPr>
    </w:p>
    <w:p w14:paraId="199A92E2" w14:textId="7281C5F7" w:rsidR="00CB4403" w:rsidRPr="003A03C1" w:rsidRDefault="00CB4403" w:rsidP="003A03C1">
      <w:pPr>
        <w:jc w:val="both"/>
        <w:rPr>
          <w:rFonts w:asciiTheme="majorHAnsi" w:hAnsiTheme="majorHAnsi"/>
        </w:rPr>
      </w:pPr>
      <w:r w:rsidRPr="003A03C1">
        <w:rPr>
          <w:rFonts w:asciiTheme="majorHAnsi" w:hAnsiTheme="majorHAnsi"/>
        </w:rPr>
        <w:t xml:space="preserve">Whilst considerable efforts have been made by WASH agencies to diversify strategies and develop a wide range of tools for the dissemination of information concerning improved hygiene behaviours, greater efforts are required to convince beneficiaries of the need for change as revealed by the low levels of understanding of the causes of diarrhoea and other WASH related illnesses. </w:t>
      </w:r>
      <w:r w:rsidR="0048017B" w:rsidRPr="003A03C1">
        <w:rPr>
          <w:rFonts w:asciiTheme="majorHAnsi" w:hAnsiTheme="majorHAnsi"/>
        </w:rPr>
        <w:t xml:space="preserve">Until beneficiaries truly understand the reasons for change, it is unlikely that behaviours will significantly improve. </w:t>
      </w:r>
    </w:p>
    <w:p w14:paraId="593C1F18" w14:textId="77777777" w:rsidR="0048017B" w:rsidRPr="003A03C1" w:rsidRDefault="0048017B" w:rsidP="003A03C1">
      <w:pPr>
        <w:jc w:val="both"/>
        <w:rPr>
          <w:rFonts w:asciiTheme="majorHAnsi" w:hAnsiTheme="majorHAnsi"/>
        </w:rPr>
      </w:pPr>
    </w:p>
    <w:p w14:paraId="38946A8B" w14:textId="3A0AA954" w:rsidR="000E154A" w:rsidRPr="003A03C1" w:rsidRDefault="0048017B" w:rsidP="003A03C1">
      <w:pPr>
        <w:jc w:val="both"/>
        <w:rPr>
          <w:rFonts w:asciiTheme="majorHAnsi" w:hAnsiTheme="majorHAnsi"/>
        </w:rPr>
      </w:pPr>
      <w:r w:rsidRPr="003A03C1">
        <w:rPr>
          <w:rFonts w:asciiTheme="majorHAnsi" w:hAnsiTheme="majorHAnsi"/>
        </w:rPr>
        <w:t>In phase 4 of the DfID WASH program, partners will continue to move away from generic WASH strategies and tailor hygiene promotion activities to the needs of individual house</w:t>
      </w:r>
      <w:r w:rsidR="00B722E8" w:rsidRPr="003A03C1">
        <w:rPr>
          <w:rFonts w:asciiTheme="majorHAnsi" w:hAnsiTheme="majorHAnsi"/>
        </w:rPr>
        <w:t>holds or those requiring greatest</w:t>
      </w:r>
      <w:r w:rsidRPr="003A03C1">
        <w:rPr>
          <w:rFonts w:asciiTheme="majorHAnsi" w:hAnsiTheme="majorHAnsi"/>
        </w:rPr>
        <w:t xml:space="preserve"> attention. The use of community based hygiene promoters is clearly the way forwa</w:t>
      </w:r>
      <w:r w:rsidR="00B722E8" w:rsidRPr="003A03C1">
        <w:rPr>
          <w:rFonts w:asciiTheme="majorHAnsi" w:hAnsiTheme="majorHAnsi"/>
        </w:rPr>
        <w:t>rd as it is highly unlikely</w:t>
      </w:r>
      <w:r w:rsidRPr="003A03C1">
        <w:rPr>
          <w:rFonts w:asciiTheme="majorHAnsi" w:hAnsiTheme="majorHAnsi"/>
        </w:rPr>
        <w:t xml:space="preserve"> Muslim beneficiaries</w:t>
      </w:r>
      <w:r w:rsidR="00B722E8" w:rsidRPr="003A03C1">
        <w:rPr>
          <w:rFonts w:asciiTheme="majorHAnsi" w:hAnsiTheme="majorHAnsi"/>
        </w:rPr>
        <w:t xml:space="preserve"> will be influenced by ‘Myanmar’ outsiders. Whilst these</w:t>
      </w:r>
      <w:r w:rsidR="000E154A" w:rsidRPr="003A03C1">
        <w:rPr>
          <w:rFonts w:asciiTheme="majorHAnsi" w:hAnsiTheme="majorHAnsi"/>
        </w:rPr>
        <w:t xml:space="preserve"> community hygiene promoters are highly motivated, it should be remembered than many have a very low level of basic education. The key to success of future stages of the program will rest on these staff and consequently, WASH partners should invest significantly in improving the facilitation skills of these staff. As can be seen from the ‘4-cleans’ approach of the Myanmar government over the past 30 years, whilst the vase majority can recite them, behaviour change in adopting improved practices falls far behind knowledge.</w:t>
      </w:r>
    </w:p>
    <w:p w14:paraId="7794844C" w14:textId="769E8FD3" w:rsidR="0048017B" w:rsidRPr="003A03C1" w:rsidRDefault="0048017B" w:rsidP="003A03C1">
      <w:pPr>
        <w:jc w:val="both"/>
        <w:rPr>
          <w:rFonts w:asciiTheme="majorHAnsi" w:hAnsiTheme="majorHAnsi"/>
        </w:rPr>
      </w:pPr>
    </w:p>
    <w:p w14:paraId="3C008EB5" w14:textId="7719F5EB" w:rsidR="000E154A" w:rsidRPr="003A03C1" w:rsidRDefault="00C47B60" w:rsidP="003A03C1">
      <w:pPr>
        <w:jc w:val="both"/>
        <w:rPr>
          <w:rFonts w:asciiTheme="majorHAnsi" w:hAnsiTheme="majorHAnsi"/>
        </w:rPr>
      </w:pPr>
      <w:r w:rsidRPr="003A03C1">
        <w:rPr>
          <w:rFonts w:asciiTheme="majorHAnsi" w:hAnsiTheme="majorHAnsi"/>
        </w:rPr>
        <w:t>I</w:t>
      </w:r>
      <w:r w:rsidR="000E154A" w:rsidRPr="003A03C1">
        <w:rPr>
          <w:rFonts w:asciiTheme="majorHAnsi" w:hAnsiTheme="majorHAnsi"/>
        </w:rPr>
        <w:t>t must be remembered that there are major limitations in the findings of KAP surveys. Beneficiaries have been exposed to these types of questions on numerous occasions and very often, usually for reasons of embarrassment, manipulate their answers to tailor them to what is expected rather than to the reality of the situation. In the case of questions where multiple responses are expected, often responses reflect the skill of the enumerator to extract as many answers as possible</w:t>
      </w:r>
      <w:r w:rsidRPr="003A03C1">
        <w:rPr>
          <w:rFonts w:asciiTheme="majorHAnsi" w:hAnsiTheme="majorHAnsi"/>
        </w:rPr>
        <w:t xml:space="preserve"> and if hurried, findings of the true levels of knowledge and the attitudes that are a barrier to change become limited</w:t>
      </w:r>
      <w:r w:rsidR="000E154A" w:rsidRPr="003A03C1">
        <w:rPr>
          <w:rFonts w:asciiTheme="majorHAnsi" w:hAnsiTheme="majorHAnsi"/>
        </w:rPr>
        <w:t xml:space="preserve">. </w:t>
      </w:r>
    </w:p>
    <w:p w14:paraId="22E0B272" w14:textId="5A01B08E" w:rsidR="00CB4403" w:rsidRPr="003A03C1" w:rsidRDefault="00CB4403" w:rsidP="003A03C1">
      <w:pPr>
        <w:jc w:val="both"/>
        <w:rPr>
          <w:rFonts w:asciiTheme="majorHAnsi" w:hAnsiTheme="majorHAnsi"/>
        </w:rPr>
      </w:pPr>
      <w:r w:rsidRPr="003A03C1">
        <w:rPr>
          <w:rFonts w:asciiTheme="majorHAnsi" w:hAnsiTheme="majorHAnsi"/>
        </w:rPr>
        <w:t xml:space="preserve"> </w:t>
      </w:r>
    </w:p>
    <w:p w14:paraId="0194BE17" w14:textId="52B9602D" w:rsidR="00734854" w:rsidRPr="003A03C1" w:rsidRDefault="003A03C1" w:rsidP="003A03C1">
      <w:pPr>
        <w:jc w:val="both"/>
        <w:rPr>
          <w:rFonts w:asciiTheme="majorHAnsi" w:hAnsiTheme="majorHAnsi"/>
        </w:rPr>
      </w:pPr>
      <w:r>
        <w:rPr>
          <w:rFonts w:asciiTheme="majorHAnsi" w:hAnsiTheme="majorHAnsi"/>
        </w:rPr>
        <w:t>F</w:t>
      </w:r>
      <w:r w:rsidR="00734854" w:rsidRPr="003A03C1">
        <w:rPr>
          <w:rFonts w:asciiTheme="majorHAnsi" w:hAnsiTheme="majorHAnsi"/>
        </w:rPr>
        <w:t xml:space="preserve">indings from this KAP report will be used to </w:t>
      </w:r>
      <w:r>
        <w:rPr>
          <w:rFonts w:asciiTheme="majorHAnsi" w:hAnsiTheme="majorHAnsi"/>
        </w:rPr>
        <w:t xml:space="preserve">establish </w:t>
      </w:r>
      <w:r w:rsidR="00734854" w:rsidRPr="003A03C1">
        <w:rPr>
          <w:rFonts w:asciiTheme="majorHAnsi" w:hAnsiTheme="majorHAnsi"/>
        </w:rPr>
        <w:t>baseline indicators for phase 4 of the DfID funded WASH program of the consortium. The table below presents the baseline indicators that this survey was able to achieve</w:t>
      </w:r>
      <w:r>
        <w:rPr>
          <w:rFonts w:asciiTheme="majorHAnsi" w:hAnsiTheme="majorHAnsi"/>
        </w:rPr>
        <w:t xml:space="preserve">. </w:t>
      </w:r>
    </w:p>
    <w:p w14:paraId="4CE5EC1C" w14:textId="424D36FF" w:rsidR="004E297C" w:rsidRPr="003A03C1" w:rsidRDefault="00734854" w:rsidP="003A03C1">
      <w:pPr>
        <w:jc w:val="both"/>
        <w:rPr>
          <w:rFonts w:asciiTheme="majorHAnsi" w:hAnsiTheme="majorHAnsi"/>
        </w:rPr>
      </w:pPr>
      <w:r w:rsidRPr="003A03C1">
        <w:rPr>
          <w:rFonts w:asciiTheme="majorHAnsi" w:hAnsiTheme="majorHAnsi"/>
        </w:rPr>
        <w:t xml:space="preserve"> </w:t>
      </w:r>
    </w:p>
    <w:p w14:paraId="2B9FDD98" w14:textId="77777777" w:rsidR="004E297C" w:rsidRPr="003A03C1" w:rsidRDefault="004E297C" w:rsidP="003A03C1">
      <w:pPr>
        <w:jc w:val="both"/>
        <w:rPr>
          <w:rFonts w:asciiTheme="majorHAnsi" w:hAnsiTheme="majorHAnsi"/>
        </w:rPr>
      </w:pPr>
    </w:p>
    <w:tbl>
      <w:tblPr>
        <w:tblW w:w="9268" w:type="dxa"/>
        <w:jc w:val="center"/>
        <w:tblLayout w:type="fixed"/>
        <w:tblLook w:val="04A0" w:firstRow="1" w:lastRow="0" w:firstColumn="1" w:lastColumn="0" w:noHBand="0" w:noVBand="1"/>
      </w:tblPr>
      <w:tblGrid>
        <w:gridCol w:w="6315"/>
        <w:gridCol w:w="2953"/>
      </w:tblGrid>
      <w:tr w:rsidR="00001813" w:rsidRPr="00001813" w14:paraId="5D384F03" w14:textId="77777777" w:rsidTr="004E297C">
        <w:trPr>
          <w:trHeight w:val="674"/>
          <w:jc w:val="center"/>
        </w:trPr>
        <w:tc>
          <w:tcPr>
            <w:tcW w:w="6315" w:type="dxa"/>
            <w:tcBorders>
              <w:top w:val="single" w:sz="4" w:space="0" w:color="auto"/>
              <w:left w:val="single" w:sz="4" w:space="0" w:color="auto"/>
              <w:bottom w:val="single" w:sz="4" w:space="0" w:color="auto"/>
              <w:right w:val="single" w:sz="4" w:space="0" w:color="auto"/>
            </w:tcBorders>
            <w:shd w:val="clear" w:color="auto" w:fill="CCCCCC"/>
            <w:vAlign w:val="center"/>
          </w:tcPr>
          <w:p w14:paraId="5C1A8ABB" w14:textId="2AE968AB" w:rsidR="00001813" w:rsidRPr="00001813" w:rsidRDefault="004A6613" w:rsidP="00001813">
            <w:pPr>
              <w:jc w:val="center"/>
              <w:rPr>
                <w:rFonts w:ascii="Calibri" w:eastAsia="Times New Roman" w:hAnsi="Calibri" w:cs="Times New Roman"/>
                <w:b/>
                <w:sz w:val="28"/>
                <w:szCs w:val="28"/>
              </w:rPr>
            </w:pPr>
            <w:r>
              <w:rPr>
                <w:rFonts w:ascii="Calibri" w:eastAsia="Times New Roman" w:hAnsi="Calibri" w:cs="Times New Roman"/>
                <w:b/>
                <w:sz w:val="28"/>
                <w:szCs w:val="28"/>
              </w:rPr>
              <w:t>OUTPUT</w:t>
            </w:r>
            <w:r w:rsidR="00001813" w:rsidRPr="00001813">
              <w:rPr>
                <w:rFonts w:ascii="Calibri" w:eastAsia="Times New Roman" w:hAnsi="Calibri" w:cs="Times New Roman"/>
                <w:b/>
                <w:sz w:val="28"/>
                <w:szCs w:val="28"/>
              </w:rPr>
              <w:t xml:space="preserve"> INDICATOR – DfID Phase 4</w:t>
            </w:r>
          </w:p>
        </w:tc>
        <w:tc>
          <w:tcPr>
            <w:tcW w:w="2953" w:type="dxa"/>
            <w:tcBorders>
              <w:top w:val="single" w:sz="4" w:space="0" w:color="auto"/>
              <w:left w:val="nil"/>
              <w:bottom w:val="single" w:sz="4" w:space="0" w:color="auto"/>
              <w:right w:val="single" w:sz="4" w:space="0" w:color="auto"/>
            </w:tcBorders>
            <w:shd w:val="clear" w:color="auto" w:fill="CCCCCC"/>
            <w:vAlign w:val="center"/>
          </w:tcPr>
          <w:p w14:paraId="6A4E69A8" w14:textId="7694B62D" w:rsidR="00001813" w:rsidRPr="00001813" w:rsidRDefault="00001813" w:rsidP="00001813">
            <w:pPr>
              <w:jc w:val="center"/>
              <w:rPr>
                <w:rFonts w:ascii="Calibri" w:eastAsia="Times New Roman" w:hAnsi="Calibri" w:cs="Times New Roman"/>
                <w:b/>
                <w:color w:val="000000"/>
                <w:sz w:val="28"/>
                <w:szCs w:val="28"/>
              </w:rPr>
            </w:pPr>
            <w:r w:rsidRPr="00001813">
              <w:rPr>
                <w:rFonts w:ascii="Calibri" w:eastAsia="Times New Roman" w:hAnsi="Calibri" w:cs="Times New Roman"/>
                <w:b/>
                <w:color w:val="000000"/>
                <w:sz w:val="28"/>
                <w:szCs w:val="28"/>
              </w:rPr>
              <w:t>B</w:t>
            </w:r>
            <w:r w:rsidR="004A6613">
              <w:rPr>
                <w:rFonts w:ascii="Calibri" w:eastAsia="Times New Roman" w:hAnsi="Calibri" w:cs="Times New Roman"/>
                <w:b/>
                <w:color w:val="000000"/>
                <w:sz w:val="28"/>
                <w:szCs w:val="28"/>
              </w:rPr>
              <w:t>ASELINE</w:t>
            </w:r>
          </w:p>
        </w:tc>
      </w:tr>
    </w:tbl>
    <w:p w14:paraId="285D5EDE" w14:textId="77777777" w:rsidR="00DC5C2F" w:rsidRDefault="00DC5C2F" w:rsidP="00C93390"/>
    <w:tbl>
      <w:tblPr>
        <w:tblW w:w="9288" w:type="dxa"/>
        <w:jc w:val="center"/>
        <w:tblLayout w:type="fixed"/>
        <w:tblCellMar>
          <w:left w:w="29" w:type="dxa"/>
          <w:right w:w="29" w:type="dxa"/>
        </w:tblCellMar>
        <w:tblLook w:val="04A0" w:firstRow="1" w:lastRow="0" w:firstColumn="1" w:lastColumn="0" w:noHBand="0" w:noVBand="1"/>
      </w:tblPr>
      <w:tblGrid>
        <w:gridCol w:w="944"/>
        <w:gridCol w:w="1530"/>
        <w:gridCol w:w="3844"/>
        <w:gridCol w:w="900"/>
        <w:gridCol w:w="2070"/>
      </w:tblGrid>
      <w:tr w:rsidR="00622B7A" w:rsidRPr="00001813" w14:paraId="44C38994" w14:textId="77777777" w:rsidTr="00DF3855">
        <w:trPr>
          <w:trHeight w:hRule="exact" w:val="288"/>
          <w:jc w:val="center"/>
        </w:trPr>
        <w:tc>
          <w:tcPr>
            <w:tcW w:w="9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D6A811" w14:textId="77777777" w:rsidR="00DC5C2F" w:rsidRPr="00C93390" w:rsidRDefault="00DC5C2F" w:rsidP="00622B7A">
            <w:pPr>
              <w:jc w:val="center"/>
              <w:rPr>
                <w:rFonts w:ascii="Calibri" w:eastAsia="Times New Roman" w:hAnsi="Calibri" w:cs="Times New Roman"/>
                <w:b/>
                <w:bCs/>
                <w:sz w:val="20"/>
                <w:szCs w:val="20"/>
              </w:rPr>
            </w:pPr>
            <w:r w:rsidRPr="00C93390">
              <w:rPr>
                <w:rFonts w:ascii="Calibri" w:eastAsia="Times New Roman" w:hAnsi="Calibri" w:cs="Times New Roman"/>
                <w:b/>
                <w:bCs/>
                <w:sz w:val="20"/>
                <w:szCs w:val="20"/>
              </w:rPr>
              <w:t>Output indicator 2.3</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01728C5E" w14:textId="47304697" w:rsidR="00DC5C2F" w:rsidRPr="00DC5C2F" w:rsidRDefault="00DC5C2F" w:rsidP="00DC5C2F">
            <w:pPr>
              <w:jc w:val="center"/>
              <w:rPr>
                <w:rFonts w:ascii="Calibri" w:eastAsia="Times New Roman" w:hAnsi="Calibri" w:cs="Times New Roman"/>
                <w:sz w:val="18"/>
                <w:szCs w:val="18"/>
              </w:rPr>
            </w:pPr>
            <w:r w:rsidRPr="00DC5C2F">
              <w:rPr>
                <w:rFonts w:ascii="Calibri" w:eastAsia="Times New Roman" w:hAnsi="Calibri" w:cs="Times New Roman"/>
                <w:sz w:val="18"/>
                <w:szCs w:val="18"/>
              </w:rPr>
              <w:t>HH Sanitary Survey</w:t>
            </w:r>
          </w:p>
        </w:tc>
        <w:tc>
          <w:tcPr>
            <w:tcW w:w="384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DFA6E51" w14:textId="60B100A4" w:rsidR="00DC5C2F" w:rsidRPr="004A6613" w:rsidRDefault="00DC5C2F" w:rsidP="00001813">
            <w:pPr>
              <w:rPr>
                <w:rFonts w:ascii="Calibri" w:eastAsia="Times New Roman" w:hAnsi="Calibri" w:cs="Times New Roman"/>
                <w:sz w:val="22"/>
                <w:szCs w:val="22"/>
              </w:rPr>
            </w:pPr>
            <w:r w:rsidRPr="004A6613">
              <w:rPr>
                <w:rFonts w:ascii="Calibri" w:eastAsia="Times New Roman" w:hAnsi="Calibri" w:cs="Times New Roman"/>
                <w:sz w:val="22"/>
                <w:szCs w:val="22"/>
              </w:rPr>
              <w:t xml:space="preserve">% </w:t>
            </w:r>
            <w:proofErr w:type="gramStart"/>
            <w:r w:rsidRPr="004A6613">
              <w:rPr>
                <w:rFonts w:ascii="Calibri" w:eastAsia="Times New Roman" w:hAnsi="Calibri" w:cs="Times New Roman"/>
                <w:sz w:val="22"/>
                <w:szCs w:val="22"/>
              </w:rPr>
              <w:t>of</w:t>
            </w:r>
            <w:proofErr w:type="gramEnd"/>
            <w:r w:rsidRPr="004A6613">
              <w:rPr>
                <w:rFonts w:ascii="Calibri" w:eastAsia="Times New Roman" w:hAnsi="Calibri" w:cs="Times New Roman"/>
                <w:sz w:val="22"/>
                <w:szCs w:val="22"/>
              </w:rPr>
              <w:t xml:space="preserve"> households using and maintaining ceramic water filters</w:t>
            </w:r>
          </w:p>
        </w:tc>
        <w:tc>
          <w:tcPr>
            <w:tcW w:w="900" w:type="dxa"/>
            <w:tcBorders>
              <w:top w:val="single" w:sz="4" w:space="0" w:color="auto"/>
              <w:left w:val="nil"/>
            </w:tcBorders>
            <w:vAlign w:val="center"/>
          </w:tcPr>
          <w:p w14:paraId="2263D1EF" w14:textId="6A2F7B1B" w:rsidR="00DC5C2F" w:rsidRPr="008B503D" w:rsidRDefault="00DC5C2F" w:rsidP="004A6613">
            <w:pPr>
              <w:jc w:val="center"/>
              <w:rPr>
                <w:rFonts w:ascii="Calibri" w:eastAsia="Times New Roman" w:hAnsi="Calibri" w:cs="Times New Roman"/>
                <w:b/>
                <w:color w:val="000000"/>
                <w:sz w:val="22"/>
                <w:szCs w:val="22"/>
              </w:rPr>
            </w:pPr>
            <w:r w:rsidRPr="008B503D">
              <w:rPr>
                <w:rFonts w:ascii="Calibri" w:eastAsia="Times New Roman" w:hAnsi="Calibri" w:cs="Times New Roman"/>
                <w:b/>
                <w:color w:val="000000"/>
                <w:sz w:val="22"/>
                <w:szCs w:val="22"/>
              </w:rPr>
              <w:t>51%</w:t>
            </w:r>
          </w:p>
        </w:tc>
        <w:tc>
          <w:tcPr>
            <w:tcW w:w="2070" w:type="dxa"/>
            <w:tcBorders>
              <w:top w:val="single" w:sz="4" w:space="0" w:color="auto"/>
              <w:right w:val="single" w:sz="4" w:space="0" w:color="auto"/>
            </w:tcBorders>
            <w:shd w:val="clear" w:color="auto" w:fill="auto"/>
            <w:noWrap/>
            <w:vAlign w:val="center"/>
            <w:hideMark/>
          </w:tcPr>
          <w:p w14:paraId="4B66E09B" w14:textId="69AF25BC" w:rsidR="00DC5C2F" w:rsidRPr="00271D97" w:rsidRDefault="00DC5C2F" w:rsidP="00001813">
            <w:pPr>
              <w:rPr>
                <w:rFonts w:ascii="Calibri" w:eastAsia="Times New Roman" w:hAnsi="Calibri" w:cs="Times New Roman"/>
                <w:b/>
                <w:color w:val="000000"/>
                <w:sz w:val="18"/>
                <w:szCs w:val="18"/>
              </w:rPr>
            </w:pPr>
            <w:r w:rsidRPr="00271D97">
              <w:rPr>
                <w:rFonts w:ascii="Calibri" w:eastAsia="Times New Roman" w:hAnsi="Calibri" w:cs="Times New Roman"/>
                <w:b/>
                <w:color w:val="000000"/>
                <w:sz w:val="18"/>
                <w:szCs w:val="18"/>
              </w:rPr>
              <w:t>Camps &amp; Villages</w:t>
            </w:r>
          </w:p>
        </w:tc>
      </w:tr>
      <w:tr w:rsidR="00622B7A" w:rsidRPr="00001813" w14:paraId="6B4314B4" w14:textId="77777777" w:rsidTr="00DF3855">
        <w:trPr>
          <w:trHeight w:hRule="exact" w:val="288"/>
          <w:jc w:val="center"/>
        </w:trPr>
        <w:tc>
          <w:tcPr>
            <w:tcW w:w="94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296913F" w14:textId="77777777" w:rsidR="00DC5C2F" w:rsidRPr="00C93390" w:rsidRDefault="00DC5C2F" w:rsidP="00622B7A">
            <w:pPr>
              <w:jc w:val="center"/>
              <w:rPr>
                <w:rFonts w:ascii="Calibri" w:eastAsia="Times New Roman" w:hAnsi="Calibri" w:cs="Times New Roman"/>
                <w:sz w:val="20"/>
                <w:szCs w:val="20"/>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14E249BC" w14:textId="5FD9F246" w:rsidR="00DC5C2F" w:rsidRPr="00DC5C2F" w:rsidRDefault="00DC5C2F" w:rsidP="00DC5C2F">
            <w:pPr>
              <w:jc w:val="center"/>
              <w:rPr>
                <w:rFonts w:ascii="Calibri" w:eastAsia="Times New Roman" w:hAnsi="Calibri" w:cs="Times New Roman"/>
                <w:sz w:val="18"/>
                <w:szCs w:val="18"/>
              </w:rPr>
            </w:pPr>
          </w:p>
        </w:tc>
        <w:tc>
          <w:tcPr>
            <w:tcW w:w="384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54EC645" w14:textId="227F9E22" w:rsidR="00DC5C2F" w:rsidRPr="00001813" w:rsidRDefault="00DC5C2F" w:rsidP="00001813">
            <w:pPr>
              <w:rPr>
                <w:rFonts w:ascii="Calibri" w:eastAsia="Times New Roman" w:hAnsi="Calibri" w:cs="Times New Roman"/>
              </w:rPr>
            </w:pPr>
          </w:p>
        </w:tc>
        <w:tc>
          <w:tcPr>
            <w:tcW w:w="900" w:type="dxa"/>
            <w:tcBorders>
              <w:left w:val="single" w:sz="4" w:space="0" w:color="auto"/>
            </w:tcBorders>
            <w:vAlign w:val="center"/>
          </w:tcPr>
          <w:p w14:paraId="1A19419A" w14:textId="27E6B9DD" w:rsidR="00DC5C2F" w:rsidRPr="00622B7A" w:rsidRDefault="00622B7A" w:rsidP="004A6613">
            <w:pPr>
              <w:jc w:val="center"/>
              <w:rPr>
                <w:rFonts w:ascii="Calibri" w:eastAsia="Times New Roman" w:hAnsi="Calibri" w:cs="Times New Roman"/>
                <w:color w:val="000000"/>
                <w:sz w:val="20"/>
                <w:szCs w:val="20"/>
              </w:rPr>
            </w:pPr>
            <w:r w:rsidRPr="00622B7A">
              <w:rPr>
                <w:rFonts w:ascii="Calibri" w:eastAsia="Times New Roman" w:hAnsi="Calibri" w:cs="Times New Roman"/>
                <w:color w:val="000000"/>
                <w:sz w:val="20"/>
                <w:szCs w:val="20"/>
              </w:rPr>
              <w:t>61%</w:t>
            </w:r>
          </w:p>
        </w:tc>
        <w:tc>
          <w:tcPr>
            <w:tcW w:w="2070" w:type="dxa"/>
            <w:tcBorders>
              <w:right w:val="single" w:sz="4" w:space="0" w:color="auto"/>
            </w:tcBorders>
            <w:shd w:val="clear" w:color="auto" w:fill="auto"/>
            <w:noWrap/>
            <w:vAlign w:val="center"/>
          </w:tcPr>
          <w:p w14:paraId="55F67714" w14:textId="7F479C5F" w:rsidR="00DC5C2F" w:rsidRPr="00DC5C2F" w:rsidRDefault="00DC5C2F" w:rsidP="00001813">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IDP camps</w:t>
            </w:r>
          </w:p>
        </w:tc>
      </w:tr>
      <w:tr w:rsidR="00622B7A" w:rsidRPr="00001813" w14:paraId="3C5E1DA9" w14:textId="77777777" w:rsidTr="00DF3855">
        <w:trPr>
          <w:trHeight w:hRule="exact" w:val="288"/>
          <w:jc w:val="center"/>
        </w:trPr>
        <w:tc>
          <w:tcPr>
            <w:tcW w:w="94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77E2073" w14:textId="77777777" w:rsidR="00DC5C2F" w:rsidRPr="00C93390" w:rsidRDefault="00DC5C2F" w:rsidP="00622B7A">
            <w:pPr>
              <w:jc w:val="center"/>
              <w:rPr>
                <w:rFonts w:ascii="Calibri" w:eastAsia="Times New Roman" w:hAnsi="Calibri" w:cs="Times New Roman"/>
                <w:sz w:val="20"/>
                <w:szCs w:val="20"/>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76DA5F98" w14:textId="2C3ED36C" w:rsidR="00DC5C2F" w:rsidRPr="00DC5C2F" w:rsidRDefault="00DC5C2F" w:rsidP="00DC5C2F">
            <w:pPr>
              <w:jc w:val="center"/>
              <w:rPr>
                <w:rFonts w:ascii="Calibri" w:eastAsia="Times New Roman" w:hAnsi="Calibri" w:cs="Times New Roman"/>
                <w:sz w:val="18"/>
                <w:szCs w:val="18"/>
              </w:rPr>
            </w:pPr>
          </w:p>
        </w:tc>
        <w:tc>
          <w:tcPr>
            <w:tcW w:w="384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CAF945A" w14:textId="483365EF" w:rsidR="00DC5C2F" w:rsidRPr="00001813" w:rsidRDefault="00DC5C2F" w:rsidP="00001813">
            <w:pPr>
              <w:rPr>
                <w:rFonts w:ascii="Calibri" w:eastAsia="Times New Roman" w:hAnsi="Calibri" w:cs="Times New Roman"/>
              </w:rPr>
            </w:pPr>
          </w:p>
        </w:tc>
        <w:tc>
          <w:tcPr>
            <w:tcW w:w="900" w:type="dxa"/>
            <w:tcBorders>
              <w:left w:val="single" w:sz="4" w:space="0" w:color="auto"/>
            </w:tcBorders>
            <w:vAlign w:val="center"/>
          </w:tcPr>
          <w:p w14:paraId="46DAF97E" w14:textId="59752CD3" w:rsidR="00DC5C2F" w:rsidRPr="00622B7A" w:rsidRDefault="00622B7A" w:rsidP="004A6613">
            <w:pPr>
              <w:jc w:val="center"/>
              <w:rPr>
                <w:rFonts w:ascii="Calibri" w:eastAsia="Times New Roman" w:hAnsi="Calibri" w:cs="Times New Roman"/>
                <w:color w:val="000000"/>
                <w:sz w:val="20"/>
                <w:szCs w:val="20"/>
              </w:rPr>
            </w:pPr>
            <w:r w:rsidRPr="00622B7A">
              <w:rPr>
                <w:rFonts w:ascii="Calibri" w:eastAsia="Times New Roman" w:hAnsi="Calibri" w:cs="Times New Roman"/>
                <w:color w:val="000000"/>
                <w:sz w:val="20"/>
                <w:szCs w:val="20"/>
              </w:rPr>
              <w:t>37%</w:t>
            </w:r>
          </w:p>
        </w:tc>
        <w:tc>
          <w:tcPr>
            <w:tcW w:w="2070" w:type="dxa"/>
            <w:tcBorders>
              <w:right w:val="single" w:sz="4" w:space="0" w:color="auto"/>
            </w:tcBorders>
            <w:shd w:val="clear" w:color="auto" w:fill="auto"/>
            <w:noWrap/>
            <w:vAlign w:val="center"/>
          </w:tcPr>
          <w:p w14:paraId="59A22479" w14:textId="7946EB1C" w:rsidR="00DC5C2F" w:rsidRPr="00DC5C2F" w:rsidRDefault="00DC5C2F" w:rsidP="00001813">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Villages near Camps</w:t>
            </w:r>
          </w:p>
        </w:tc>
      </w:tr>
      <w:tr w:rsidR="00622B7A" w:rsidRPr="00001813" w14:paraId="3051FABE" w14:textId="77777777" w:rsidTr="00DF3855">
        <w:trPr>
          <w:trHeight w:hRule="exact" w:val="288"/>
          <w:jc w:val="center"/>
        </w:trPr>
        <w:tc>
          <w:tcPr>
            <w:tcW w:w="94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1A49EDC" w14:textId="77777777" w:rsidR="00DC5C2F" w:rsidRPr="00C93390" w:rsidRDefault="00DC5C2F" w:rsidP="00622B7A">
            <w:pPr>
              <w:jc w:val="center"/>
              <w:rPr>
                <w:rFonts w:ascii="Calibri" w:eastAsia="Times New Roman" w:hAnsi="Calibri" w:cs="Times New Roman"/>
                <w:sz w:val="20"/>
                <w:szCs w:val="20"/>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30384EAD" w14:textId="77777777" w:rsidR="00DC5C2F" w:rsidRPr="00DC5C2F" w:rsidRDefault="00DC5C2F" w:rsidP="00DC5C2F">
            <w:pPr>
              <w:jc w:val="center"/>
              <w:rPr>
                <w:rFonts w:ascii="Calibri" w:eastAsia="Times New Roman" w:hAnsi="Calibri" w:cs="Times New Roman"/>
                <w:sz w:val="18"/>
                <w:szCs w:val="18"/>
              </w:rPr>
            </w:pPr>
          </w:p>
        </w:tc>
        <w:tc>
          <w:tcPr>
            <w:tcW w:w="384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36F15D2" w14:textId="3292439B" w:rsidR="00DC5C2F" w:rsidRPr="00001813" w:rsidRDefault="00DC5C2F" w:rsidP="00001813">
            <w:pPr>
              <w:rPr>
                <w:rFonts w:ascii="Calibri" w:eastAsia="Times New Roman" w:hAnsi="Calibri" w:cs="Times New Roman"/>
              </w:rPr>
            </w:pPr>
          </w:p>
        </w:tc>
        <w:tc>
          <w:tcPr>
            <w:tcW w:w="900" w:type="dxa"/>
            <w:tcBorders>
              <w:left w:val="single" w:sz="4" w:space="0" w:color="auto"/>
              <w:bottom w:val="single" w:sz="4" w:space="0" w:color="auto"/>
            </w:tcBorders>
            <w:vAlign w:val="center"/>
          </w:tcPr>
          <w:p w14:paraId="77A4E018" w14:textId="7F4576D0" w:rsidR="00DC5C2F" w:rsidRPr="00622B7A" w:rsidRDefault="00622B7A" w:rsidP="004A6613">
            <w:pPr>
              <w:jc w:val="center"/>
              <w:rPr>
                <w:rFonts w:ascii="Calibri" w:eastAsia="Times New Roman" w:hAnsi="Calibri" w:cs="Times New Roman"/>
                <w:color w:val="000000"/>
                <w:sz w:val="20"/>
                <w:szCs w:val="20"/>
              </w:rPr>
            </w:pPr>
            <w:r w:rsidRPr="00622B7A">
              <w:rPr>
                <w:rFonts w:ascii="Calibri" w:eastAsia="Times New Roman" w:hAnsi="Calibri" w:cs="Times New Roman"/>
                <w:color w:val="000000"/>
                <w:sz w:val="20"/>
                <w:szCs w:val="20"/>
              </w:rPr>
              <w:t>40%</w:t>
            </w:r>
          </w:p>
        </w:tc>
        <w:tc>
          <w:tcPr>
            <w:tcW w:w="2070" w:type="dxa"/>
            <w:tcBorders>
              <w:bottom w:val="single" w:sz="4" w:space="0" w:color="auto"/>
              <w:right w:val="single" w:sz="4" w:space="0" w:color="auto"/>
            </w:tcBorders>
            <w:shd w:val="clear" w:color="auto" w:fill="auto"/>
            <w:noWrap/>
            <w:vAlign w:val="center"/>
          </w:tcPr>
          <w:p w14:paraId="0B35F704" w14:textId="30B68217" w:rsidR="00DC5C2F" w:rsidRPr="00DC5C2F" w:rsidRDefault="00DC5C2F" w:rsidP="00001813">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Remote villages</w:t>
            </w:r>
          </w:p>
        </w:tc>
      </w:tr>
      <w:tr w:rsidR="00622B7A" w:rsidRPr="00001813" w14:paraId="0D3C5550" w14:textId="77777777" w:rsidTr="00DF3855">
        <w:trPr>
          <w:trHeight w:hRule="exact" w:val="288"/>
          <w:jc w:val="center"/>
        </w:trPr>
        <w:tc>
          <w:tcPr>
            <w:tcW w:w="9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869157" w14:textId="004A45DD" w:rsidR="00DC5C2F" w:rsidRPr="00C93390" w:rsidRDefault="00DC5C2F" w:rsidP="00622B7A">
            <w:pPr>
              <w:jc w:val="center"/>
              <w:rPr>
                <w:rFonts w:ascii="Calibri" w:eastAsia="Times New Roman" w:hAnsi="Calibri" w:cs="Times New Roman"/>
                <w:b/>
                <w:bCs/>
                <w:sz w:val="20"/>
                <w:szCs w:val="20"/>
              </w:rPr>
            </w:pPr>
            <w:r w:rsidRPr="00C93390">
              <w:rPr>
                <w:rFonts w:ascii="Calibri" w:eastAsia="Times New Roman" w:hAnsi="Calibri" w:cs="Times New Roman"/>
                <w:b/>
                <w:bCs/>
                <w:sz w:val="20"/>
                <w:szCs w:val="20"/>
              </w:rPr>
              <w:t>Output indicator 3.1</w:t>
            </w:r>
          </w:p>
        </w:tc>
        <w:tc>
          <w:tcPr>
            <w:tcW w:w="1530" w:type="dxa"/>
            <w:vMerge w:val="restart"/>
            <w:tcBorders>
              <w:top w:val="single" w:sz="4" w:space="0" w:color="auto"/>
              <w:left w:val="nil"/>
              <w:bottom w:val="single" w:sz="4" w:space="0" w:color="auto"/>
              <w:right w:val="single" w:sz="4" w:space="0" w:color="auto"/>
            </w:tcBorders>
            <w:vAlign w:val="center"/>
          </w:tcPr>
          <w:p w14:paraId="6283425F" w14:textId="3ED79BD6" w:rsidR="00DC5C2F" w:rsidRPr="00DC5C2F" w:rsidRDefault="00DC5C2F" w:rsidP="00DC5C2F">
            <w:pPr>
              <w:jc w:val="center"/>
              <w:rPr>
                <w:rFonts w:ascii="Calibri" w:eastAsia="Times New Roman" w:hAnsi="Calibri" w:cs="Times New Roman"/>
                <w:sz w:val="18"/>
                <w:szCs w:val="18"/>
              </w:rPr>
            </w:pPr>
            <w:r w:rsidRPr="00DC5C2F">
              <w:rPr>
                <w:rFonts w:ascii="Calibri" w:eastAsia="Times New Roman" w:hAnsi="Calibri" w:cs="Times New Roman"/>
                <w:color w:val="000000"/>
                <w:sz w:val="18"/>
                <w:szCs w:val="18"/>
              </w:rPr>
              <w:t>KAP Questionnaire</w:t>
            </w:r>
          </w:p>
        </w:tc>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825E17" w14:textId="0E07F65F" w:rsidR="00DC5C2F" w:rsidRPr="00001813" w:rsidRDefault="00DC5C2F" w:rsidP="00001813">
            <w:pPr>
              <w:rPr>
                <w:rFonts w:ascii="Calibri" w:eastAsia="Times New Roman" w:hAnsi="Calibri" w:cs="Times New Roman"/>
                <w:sz w:val="22"/>
                <w:szCs w:val="22"/>
              </w:rPr>
            </w:pPr>
            <w:r w:rsidRPr="00001813">
              <w:rPr>
                <w:rFonts w:ascii="Calibri" w:eastAsia="Times New Roman" w:hAnsi="Calibri" w:cs="Times New Roman"/>
                <w:sz w:val="22"/>
                <w:szCs w:val="22"/>
              </w:rPr>
              <w:t xml:space="preserve">% </w:t>
            </w:r>
            <w:proofErr w:type="gramStart"/>
            <w:r w:rsidRPr="00001813">
              <w:rPr>
                <w:rFonts w:ascii="Calibri" w:eastAsia="Times New Roman" w:hAnsi="Calibri" w:cs="Times New Roman"/>
                <w:sz w:val="22"/>
                <w:szCs w:val="22"/>
              </w:rPr>
              <w:t>of</w:t>
            </w:r>
            <w:proofErr w:type="gramEnd"/>
            <w:r w:rsidRPr="00001813">
              <w:rPr>
                <w:rFonts w:ascii="Calibri" w:eastAsia="Times New Roman" w:hAnsi="Calibri" w:cs="Times New Roman"/>
                <w:sz w:val="22"/>
                <w:szCs w:val="22"/>
              </w:rPr>
              <w:t xml:space="preserve"> people with access to functioning latrines</w:t>
            </w:r>
          </w:p>
        </w:tc>
        <w:tc>
          <w:tcPr>
            <w:tcW w:w="900" w:type="dxa"/>
            <w:tcBorders>
              <w:top w:val="single" w:sz="4" w:space="0" w:color="auto"/>
              <w:left w:val="nil"/>
            </w:tcBorders>
            <w:vAlign w:val="center"/>
          </w:tcPr>
          <w:p w14:paraId="6A608DFE" w14:textId="470510AC" w:rsidR="00DC5C2F" w:rsidRPr="00C93390" w:rsidRDefault="00DC5C2F" w:rsidP="004A6613">
            <w:pPr>
              <w:jc w:val="center"/>
              <w:rPr>
                <w:rFonts w:ascii="Calibri" w:eastAsia="Times New Roman" w:hAnsi="Calibri" w:cs="Times New Roman"/>
                <w:b/>
                <w:color w:val="000000"/>
                <w:sz w:val="22"/>
                <w:szCs w:val="22"/>
              </w:rPr>
            </w:pPr>
            <w:r w:rsidRPr="00C93390">
              <w:rPr>
                <w:rFonts w:ascii="Calibri" w:eastAsia="Times New Roman" w:hAnsi="Calibri" w:cs="Times New Roman"/>
                <w:b/>
                <w:color w:val="000000"/>
                <w:sz w:val="22"/>
                <w:szCs w:val="22"/>
              </w:rPr>
              <w:t>67%</w:t>
            </w:r>
          </w:p>
        </w:tc>
        <w:tc>
          <w:tcPr>
            <w:tcW w:w="2070" w:type="dxa"/>
            <w:tcBorders>
              <w:top w:val="single" w:sz="4" w:space="0" w:color="auto"/>
              <w:right w:val="single" w:sz="4" w:space="0" w:color="auto"/>
            </w:tcBorders>
            <w:shd w:val="clear" w:color="auto" w:fill="auto"/>
            <w:noWrap/>
            <w:vAlign w:val="center"/>
          </w:tcPr>
          <w:p w14:paraId="15342A02" w14:textId="28540667" w:rsidR="00DC5C2F" w:rsidRPr="00271D97" w:rsidRDefault="00DC5C2F" w:rsidP="00001813">
            <w:pPr>
              <w:rPr>
                <w:rFonts w:ascii="Calibri" w:eastAsia="Times New Roman" w:hAnsi="Calibri" w:cs="Times New Roman"/>
                <w:b/>
                <w:color w:val="000000"/>
                <w:sz w:val="18"/>
                <w:szCs w:val="18"/>
              </w:rPr>
            </w:pPr>
            <w:r w:rsidRPr="00271D97">
              <w:rPr>
                <w:rFonts w:ascii="Calibri" w:eastAsia="Times New Roman" w:hAnsi="Calibri" w:cs="Times New Roman"/>
                <w:b/>
                <w:color w:val="000000"/>
                <w:sz w:val="18"/>
                <w:szCs w:val="18"/>
              </w:rPr>
              <w:t>Camps &amp; Villages</w:t>
            </w:r>
          </w:p>
        </w:tc>
      </w:tr>
      <w:tr w:rsidR="00622B7A" w:rsidRPr="00001813" w14:paraId="2FFAF43C" w14:textId="77777777" w:rsidTr="00DF3855">
        <w:trPr>
          <w:trHeight w:hRule="exact" w:val="288"/>
          <w:jc w:val="center"/>
        </w:trPr>
        <w:tc>
          <w:tcPr>
            <w:tcW w:w="9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A19595" w14:textId="39E0CDF7" w:rsidR="00DC5C2F" w:rsidRPr="00C93390" w:rsidRDefault="00DC5C2F" w:rsidP="00622B7A">
            <w:pPr>
              <w:jc w:val="center"/>
              <w:rPr>
                <w:rFonts w:ascii="Calibri" w:eastAsia="Times New Roman" w:hAnsi="Calibri" w:cs="Times New Roman"/>
                <w:b/>
                <w:bCs/>
                <w:sz w:val="20"/>
                <w:szCs w:val="20"/>
              </w:rPr>
            </w:pPr>
          </w:p>
        </w:tc>
        <w:tc>
          <w:tcPr>
            <w:tcW w:w="1530" w:type="dxa"/>
            <w:vMerge/>
            <w:tcBorders>
              <w:top w:val="single" w:sz="4" w:space="0" w:color="auto"/>
              <w:left w:val="nil"/>
              <w:bottom w:val="single" w:sz="4" w:space="0" w:color="auto"/>
              <w:right w:val="single" w:sz="4" w:space="0" w:color="auto"/>
            </w:tcBorders>
            <w:vAlign w:val="center"/>
          </w:tcPr>
          <w:p w14:paraId="7BA17476" w14:textId="192F18D0" w:rsidR="00DC5C2F" w:rsidRPr="00DC5C2F" w:rsidRDefault="00DC5C2F" w:rsidP="00DC5C2F">
            <w:pPr>
              <w:jc w:val="center"/>
              <w:rPr>
                <w:rFonts w:ascii="Calibri" w:eastAsia="Times New Roman" w:hAnsi="Calibri" w:cs="Times New Roman"/>
                <w:sz w:val="18"/>
                <w:szCs w:val="18"/>
              </w:rPr>
            </w:pPr>
          </w:p>
        </w:tc>
        <w:tc>
          <w:tcPr>
            <w:tcW w:w="38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F465D1" w14:textId="609628A0" w:rsidR="00DC5C2F" w:rsidRPr="00001813" w:rsidRDefault="00DC5C2F" w:rsidP="00001813">
            <w:pPr>
              <w:rPr>
                <w:rFonts w:ascii="Calibri" w:eastAsia="Times New Roman" w:hAnsi="Calibri" w:cs="Times New Roman"/>
                <w:sz w:val="22"/>
                <w:szCs w:val="22"/>
              </w:rPr>
            </w:pPr>
          </w:p>
        </w:tc>
        <w:tc>
          <w:tcPr>
            <w:tcW w:w="900" w:type="dxa"/>
            <w:tcBorders>
              <w:left w:val="nil"/>
            </w:tcBorders>
            <w:vAlign w:val="center"/>
          </w:tcPr>
          <w:p w14:paraId="75F30A51" w14:textId="760BB8BE" w:rsidR="00DC5C2F" w:rsidRPr="00C93390" w:rsidRDefault="00AB4C72" w:rsidP="004A6613">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78%</w:t>
            </w:r>
          </w:p>
        </w:tc>
        <w:tc>
          <w:tcPr>
            <w:tcW w:w="2070" w:type="dxa"/>
            <w:tcBorders>
              <w:right w:val="single" w:sz="4" w:space="0" w:color="auto"/>
            </w:tcBorders>
            <w:shd w:val="clear" w:color="auto" w:fill="auto"/>
            <w:noWrap/>
            <w:vAlign w:val="center"/>
          </w:tcPr>
          <w:p w14:paraId="07DFCE53" w14:textId="3A866FEA" w:rsidR="00DC5C2F" w:rsidRPr="00DC5C2F" w:rsidRDefault="00DC5C2F" w:rsidP="00001813">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IDP camps</w:t>
            </w:r>
          </w:p>
        </w:tc>
      </w:tr>
      <w:tr w:rsidR="00622B7A" w:rsidRPr="00001813" w14:paraId="47B279CB" w14:textId="77777777" w:rsidTr="00DF3855">
        <w:trPr>
          <w:trHeight w:hRule="exact" w:val="288"/>
          <w:jc w:val="center"/>
        </w:trPr>
        <w:tc>
          <w:tcPr>
            <w:tcW w:w="9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787079" w14:textId="7EE1A0FC" w:rsidR="00DC5C2F" w:rsidRPr="00C93390" w:rsidRDefault="00DC5C2F" w:rsidP="00622B7A">
            <w:pPr>
              <w:jc w:val="center"/>
              <w:rPr>
                <w:rFonts w:ascii="Calibri" w:eastAsia="Times New Roman" w:hAnsi="Calibri" w:cs="Times New Roman"/>
                <w:b/>
                <w:bCs/>
                <w:sz w:val="20"/>
                <w:szCs w:val="20"/>
              </w:rPr>
            </w:pPr>
          </w:p>
        </w:tc>
        <w:tc>
          <w:tcPr>
            <w:tcW w:w="1530" w:type="dxa"/>
            <w:vMerge/>
            <w:tcBorders>
              <w:top w:val="single" w:sz="4" w:space="0" w:color="auto"/>
              <w:left w:val="nil"/>
              <w:bottom w:val="single" w:sz="4" w:space="0" w:color="auto"/>
              <w:right w:val="single" w:sz="4" w:space="0" w:color="auto"/>
            </w:tcBorders>
            <w:vAlign w:val="center"/>
          </w:tcPr>
          <w:p w14:paraId="54A55F21" w14:textId="77777777" w:rsidR="00DC5C2F" w:rsidRPr="00DC5C2F" w:rsidRDefault="00DC5C2F" w:rsidP="00DC5C2F">
            <w:pPr>
              <w:jc w:val="center"/>
              <w:rPr>
                <w:rFonts w:ascii="Calibri" w:eastAsia="Times New Roman" w:hAnsi="Calibri" w:cs="Times New Roman"/>
                <w:sz w:val="18"/>
                <w:szCs w:val="18"/>
              </w:rPr>
            </w:pPr>
          </w:p>
        </w:tc>
        <w:tc>
          <w:tcPr>
            <w:tcW w:w="38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7FA128" w14:textId="7BFDDA1C" w:rsidR="00DC5C2F" w:rsidRPr="00001813" w:rsidRDefault="00DC5C2F" w:rsidP="00001813">
            <w:pPr>
              <w:rPr>
                <w:rFonts w:ascii="Calibri" w:eastAsia="Times New Roman" w:hAnsi="Calibri" w:cs="Times New Roman"/>
                <w:sz w:val="22"/>
                <w:szCs w:val="22"/>
              </w:rPr>
            </w:pPr>
          </w:p>
        </w:tc>
        <w:tc>
          <w:tcPr>
            <w:tcW w:w="900" w:type="dxa"/>
            <w:tcBorders>
              <w:left w:val="nil"/>
            </w:tcBorders>
            <w:vAlign w:val="center"/>
          </w:tcPr>
          <w:p w14:paraId="37565525" w14:textId="62059BC5" w:rsidR="00DC5C2F" w:rsidRPr="00C93390" w:rsidRDefault="00BA3C81" w:rsidP="004A6613">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54%</w:t>
            </w:r>
          </w:p>
        </w:tc>
        <w:tc>
          <w:tcPr>
            <w:tcW w:w="2070" w:type="dxa"/>
            <w:tcBorders>
              <w:right w:val="single" w:sz="4" w:space="0" w:color="auto"/>
            </w:tcBorders>
            <w:shd w:val="clear" w:color="auto" w:fill="auto"/>
            <w:noWrap/>
            <w:vAlign w:val="center"/>
          </w:tcPr>
          <w:p w14:paraId="060D4F93" w14:textId="52803D52" w:rsidR="00DC5C2F" w:rsidRPr="00DC5C2F" w:rsidRDefault="00DC5C2F" w:rsidP="00001813">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Villages near Camps</w:t>
            </w:r>
          </w:p>
        </w:tc>
      </w:tr>
      <w:tr w:rsidR="00622B7A" w:rsidRPr="00001813" w14:paraId="49F59A80" w14:textId="77777777" w:rsidTr="00DF3855">
        <w:trPr>
          <w:trHeight w:hRule="exact" w:val="288"/>
          <w:jc w:val="center"/>
        </w:trPr>
        <w:tc>
          <w:tcPr>
            <w:tcW w:w="9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AD236E" w14:textId="794EEBC6" w:rsidR="00DC5C2F" w:rsidRPr="00C93390" w:rsidRDefault="00DC5C2F" w:rsidP="00622B7A">
            <w:pPr>
              <w:jc w:val="center"/>
              <w:rPr>
                <w:rFonts w:ascii="Calibri" w:eastAsia="Times New Roman" w:hAnsi="Calibri" w:cs="Times New Roman"/>
                <w:b/>
                <w:bCs/>
                <w:sz w:val="20"/>
                <w:szCs w:val="20"/>
              </w:rPr>
            </w:pPr>
          </w:p>
        </w:tc>
        <w:tc>
          <w:tcPr>
            <w:tcW w:w="1530" w:type="dxa"/>
            <w:vMerge/>
            <w:tcBorders>
              <w:top w:val="single" w:sz="4" w:space="0" w:color="auto"/>
              <w:left w:val="nil"/>
              <w:bottom w:val="single" w:sz="4" w:space="0" w:color="auto"/>
              <w:right w:val="single" w:sz="4" w:space="0" w:color="auto"/>
            </w:tcBorders>
            <w:vAlign w:val="center"/>
          </w:tcPr>
          <w:p w14:paraId="032D27C7" w14:textId="77777777" w:rsidR="00DC5C2F" w:rsidRPr="00DC5C2F" w:rsidRDefault="00DC5C2F" w:rsidP="00DC5C2F">
            <w:pPr>
              <w:jc w:val="center"/>
              <w:rPr>
                <w:rFonts w:ascii="Calibri" w:eastAsia="Times New Roman" w:hAnsi="Calibri" w:cs="Times New Roman"/>
                <w:sz w:val="18"/>
                <w:szCs w:val="18"/>
              </w:rPr>
            </w:pPr>
          </w:p>
        </w:tc>
        <w:tc>
          <w:tcPr>
            <w:tcW w:w="38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34EC21" w14:textId="673F51AC" w:rsidR="00DC5C2F" w:rsidRPr="00001813" w:rsidRDefault="00DC5C2F" w:rsidP="00001813">
            <w:pPr>
              <w:rPr>
                <w:rFonts w:ascii="Calibri" w:eastAsia="Times New Roman" w:hAnsi="Calibri" w:cs="Times New Roman"/>
                <w:sz w:val="22"/>
                <w:szCs w:val="22"/>
              </w:rPr>
            </w:pPr>
          </w:p>
        </w:tc>
        <w:tc>
          <w:tcPr>
            <w:tcW w:w="900" w:type="dxa"/>
            <w:tcBorders>
              <w:left w:val="nil"/>
              <w:bottom w:val="single" w:sz="4" w:space="0" w:color="auto"/>
            </w:tcBorders>
            <w:vAlign w:val="center"/>
          </w:tcPr>
          <w:p w14:paraId="268097B1" w14:textId="513E6716" w:rsidR="00DC5C2F" w:rsidRPr="00C93390" w:rsidRDefault="00BA3C81" w:rsidP="004A6613">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69%</w:t>
            </w:r>
          </w:p>
        </w:tc>
        <w:tc>
          <w:tcPr>
            <w:tcW w:w="2070" w:type="dxa"/>
            <w:tcBorders>
              <w:bottom w:val="single" w:sz="4" w:space="0" w:color="auto"/>
              <w:right w:val="single" w:sz="4" w:space="0" w:color="auto"/>
            </w:tcBorders>
            <w:shd w:val="clear" w:color="auto" w:fill="auto"/>
            <w:noWrap/>
            <w:vAlign w:val="center"/>
            <w:hideMark/>
          </w:tcPr>
          <w:p w14:paraId="53539E88" w14:textId="1CBD6069" w:rsidR="00DC5C2F" w:rsidRPr="00DC5C2F" w:rsidRDefault="00DC5C2F" w:rsidP="00001813">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Remote villages</w:t>
            </w:r>
          </w:p>
        </w:tc>
      </w:tr>
      <w:tr w:rsidR="00622B7A" w:rsidRPr="00001813" w14:paraId="6EA86117" w14:textId="77777777" w:rsidTr="00DF3855">
        <w:trPr>
          <w:trHeight w:hRule="exact" w:val="288"/>
          <w:jc w:val="center"/>
        </w:trPr>
        <w:tc>
          <w:tcPr>
            <w:tcW w:w="944" w:type="dxa"/>
            <w:vMerge w:val="restart"/>
            <w:tcBorders>
              <w:top w:val="nil"/>
              <w:left w:val="single" w:sz="4" w:space="0" w:color="auto"/>
              <w:right w:val="single" w:sz="4" w:space="0" w:color="auto"/>
            </w:tcBorders>
            <w:shd w:val="clear" w:color="auto" w:fill="auto"/>
            <w:vAlign w:val="center"/>
            <w:hideMark/>
          </w:tcPr>
          <w:p w14:paraId="73877D1A" w14:textId="77777777" w:rsidR="00DC5C2F" w:rsidRPr="00C93390" w:rsidRDefault="00DC5C2F" w:rsidP="00622B7A">
            <w:pPr>
              <w:jc w:val="center"/>
              <w:rPr>
                <w:rFonts w:ascii="Calibri" w:eastAsia="Times New Roman" w:hAnsi="Calibri" w:cs="Times New Roman"/>
                <w:b/>
                <w:bCs/>
                <w:sz w:val="20"/>
                <w:szCs w:val="20"/>
              </w:rPr>
            </w:pPr>
            <w:r w:rsidRPr="00C93390">
              <w:rPr>
                <w:rFonts w:ascii="Calibri" w:eastAsia="Times New Roman" w:hAnsi="Calibri" w:cs="Times New Roman"/>
                <w:b/>
                <w:bCs/>
                <w:sz w:val="20"/>
                <w:szCs w:val="20"/>
              </w:rPr>
              <w:t>Output indicator 4.1</w:t>
            </w:r>
          </w:p>
        </w:tc>
        <w:tc>
          <w:tcPr>
            <w:tcW w:w="1530" w:type="dxa"/>
            <w:vMerge w:val="restart"/>
            <w:tcBorders>
              <w:top w:val="single" w:sz="4" w:space="0" w:color="auto"/>
              <w:left w:val="nil"/>
              <w:bottom w:val="single" w:sz="4" w:space="0" w:color="auto"/>
              <w:right w:val="single" w:sz="4" w:space="0" w:color="auto"/>
            </w:tcBorders>
            <w:vAlign w:val="center"/>
          </w:tcPr>
          <w:p w14:paraId="1B96E5E3" w14:textId="05EBF3D0" w:rsidR="00DC5C2F" w:rsidRPr="00DC5C2F" w:rsidRDefault="00DC5C2F" w:rsidP="00DC5C2F">
            <w:pPr>
              <w:jc w:val="center"/>
              <w:rPr>
                <w:rFonts w:ascii="Calibri" w:eastAsia="Times New Roman" w:hAnsi="Calibri" w:cs="Times New Roman"/>
                <w:sz w:val="18"/>
                <w:szCs w:val="18"/>
              </w:rPr>
            </w:pPr>
            <w:r w:rsidRPr="00DC5C2F">
              <w:rPr>
                <w:rFonts w:ascii="Calibri" w:eastAsia="Times New Roman" w:hAnsi="Calibri" w:cs="Times New Roman"/>
                <w:color w:val="000000"/>
                <w:sz w:val="18"/>
                <w:szCs w:val="18"/>
              </w:rPr>
              <w:t>KAP Questionnaire</w:t>
            </w:r>
          </w:p>
        </w:tc>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D73B8B" w14:textId="041B04E1" w:rsidR="00DC5C2F" w:rsidRPr="00001813" w:rsidRDefault="00DC5C2F" w:rsidP="00001813">
            <w:pPr>
              <w:rPr>
                <w:rFonts w:ascii="Calibri" w:eastAsia="Times New Roman" w:hAnsi="Calibri" w:cs="Times New Roman"/>
                <w:sz w:val="22"/>
                <w:szCs w:val="22"/>
              </w:rPr>
            </w:pPr>
            <w:r w:rsidRPr="00001813">
              <w:rPr>
                <w:rFonts w:ascii="Calibri" w:eastAsia="Times New Roman" w:hAnsi="Calibri" w:cs="Times New Roman"/>
                <w:sz w:val="22"/>
                <w:szCs w:val="22"/>
              </w:rPr>
              <w:t xml:space="preserve">% </w:t>
            </w:r>
            <w:proofErr w:type="gramStart"/>
            <w:r w:rsidRPr="00001813">
              <w:rPr>
                <w:rFonts w:ascii="Calibri" w:eastAsia="Times New Roman" w:hAnsi="Calibri" w:cs="Times New Roman"/>
                <w:sz w:val="22"/>
                <w:szCs w:val="22"/>
              </w:rPr>
              <w:t>of</w:t>
            </w:r>
            <w:proofErr w:type="gramEnd"/>
            <w:r w:rsidRPr="00001813">
              <w:rPr>
                <w:rFonts w:ascii="Calibri" w:eastAsia="Times New Roman" w:hAnsi="Calibri" w:cs="Times New Roman"/>
                <w:sz w:val="22"/>
                <w:szCs w:val="22"/>
              </w:rPr>
              <w:t xml:space="preserve"> targeted beneficiaries with knowledge of handwashing with soap at minimum of 3 of 5 critical times</w:t>
            </w:r>
          </w:p>
        </w:tc>
        <w:tc>
          <w:tcPr>
            <w:tcW w:w="900" w:type="dxa"/>
            <w:tcBorders>
              <w:top w:val="single" w:sz="4" w:space="0" w:color="auto"/>
              <w:left w:val="nil"/>
            </w:tcBorders>
            <w:vAlign w:val="center"/>
          </w:tcPr>
          <w:p w14:paraId="5DF88F79" w14:textId="33AD670A" w:rsidR="00DC5C2F" w:rsidRPr="00C93390" w:rsidRDefault="00DC5C2F" w:rsidP="004A6613">
            <w:pPr>
              <w:jc w:val="center"/>
              <w:rPr>
                <w:rFonts w:ascii="Calibri" w:eastAsia="Times New Roman" w:hAnsi="Calibri" w:cs="Times New Roman"/>
                <w:b/>
                <w:color w:val="000000"/>
                <w:sz w:val="22"/>
                <w:szCs w:val="22"/>
              </w:rPr>
            </w:pPr>
            <w:r w:rsidRPr="00C93390">
              <w:rPr>
                <w:rFonts w:ascii="Calibri" w:eastAsia="Times New Roman" w:hAnsi="Calibri" w:cs="Times New Roman"/>
                <w:b/>
                <w:color w:val="000000"/>
                <w:sz w:val="22"/>
                <w:szCs w:val="22"/>
              </w:rPr>
              <w:t>21%</w:t>
            </w:r>
          </w:p>
        </w:tc>
        <w:tc>
          <w:tcPr>
            <w:tcW w:w="2070" w:type="dxa"/>
            <w:tcBorders>
              <w:top w:val="single" w:sz="4" w:space="0" w:color="auto"/>
              <w:right w:val="single" w:sz="4" w:space="0" w:color="auto"/>
            </w:tcBorders>
            <w:shd w:val="clear" w:color="auto" w:fill="auto"/>
            <w:noWrap/>
            <w:vAlign w:val="center"/>
            <w:hideMark/>
          </w:tcPr>
          <w:p w14:paraId="6F1408F4" w14:textId="3A68173D" w:rsidR="00DC5C2F" w:rsidRPr="00271D97" w:rsidRDefault="00DC5C2F" w:rsidP="00001813">
            <w:pPr>
              <w:rPr>
                <w:rFonts w:ascii="Calibri" w:eastAsia="Times New Roman" w:hAnsi="Calibri" w:cs="Times New Roman"/>
                <w:b/>
                <w:color w:val="000000"/>
                <w:sz w:val="18"/>
                <w:szCs w:val="18"/>
              </w:rPr>
            </w:pPr>
            <w:r w:rsidRPr="00271D97">
              <w:rPr>
                <w:rFonts w:ascii="Calibri" w:eastAsia="Times New Roman" w:hAnsi="Calibri" w:cs="Times New Roman"/>
                <w:b/>
                <w:color w:val="000000"/>
                <w:sz w:val="18"/>
                <w:szCs w:val="18"/>
              </w:rPr>
              <w:t>Camps &amp; Villages</w:t>
            </w:r>
          </w:p>
        </w:tc>
      </w:tr>
      <w:tr w:rsidR="00622B7A" w:rsidRPr="00001813" w14:paraId="18ACE08F" w14:textId="77777777" w:rsidTr="00DF3855">
        <w:trPr>
          <w:trHeight w:hRule="exact" w:val="288"/>
          <w:jc w:val="center"/>
        </w:trPr>
        <w:tc>
          <w:tcPr>
            <w:tcW w:w="944" w:type="dxa"/>
            <w:vMerge/>
            <w:tcBorders>
              <w:left w:val="single" w:sz="4" w:space="0" w:color="auto"/>
              <w:right w:val="single" w:sz="4" w:space="0" w:color="auto"/>
            </w:tcBorders>
            <w:shd w:val="clear" w:color="auto" w:fill="auto"/>
            <w:vAlign w:val="center"/>
          </w:tcPr>
          <w:p w14:paraId="1F6F9EF6" w14:textId="77777777" w:rsidR="00DC5C2F" w:rsidRPr="00C93390" w:rsidRDefault="00DC5C2F" w:rsidP="00622B7A">
            <w:pPr>
              <w:jc w:val="center"/>
              <w:rPr>
                <w:rFonts w:ascii="Calibri" w:eastAsia="Times New Roman" w:hAnsi="Calibri" w:cs="Times New Roman"/>
                <w:b/>
                <w:bCs/>
                <w:sz w:val="20"/>
                <w:szCs w:val="20"/>
              </w:rPr>
            </w:pPr>
          </w:p>
        </w:tc>
        <w:tc>
          <w:tcPr>
            <w:tcW w:w="1530" w:type="dxa"/>
            <w:vMerge/>
            <w:tcBorders>
              <w:top w:val="single" w:sz="4" w:space="0" w:color="auto"/>
              <w:left w:val="nil"/>
              <w:bottom w:val="single" w:sz="4" w:space="0" w:color="auto"/>
              <w:right w:val="single" w:sz="4" w:space="0" w:color="auto"/>
            </w:tcBorders>
            <w:vAlign w:val="center"/>
          </w:tcPr>
          <w:p w14:paraId="183212B9" w14:textId="77777777" w:rsidR="00DC5C2F" w:rsidRPr="00DC5C2F" w:rsidRDefault="00DC5C2F" w:rsidP="00DC5C2F">
            <w:pPr>
              <w:jc w:val="center"/>
              <w:rPr>
                <w:rFonts w:ascii="Calibri" w:eastAsia="Times New Roman" w:hAnsi="Calibri" w:cs="Times New Roman"/>
                <w:sz w:val="18"/>
                <w:szCs w:val="18"/>
              </w:rPr>
            </w:pPr>
          </w:p>
        </w:tc>
        <w:tc>
          <w:tcPr>
            <w:tcW w:w="38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04F509" w14:textId="77777777" w:rsidR="00DC5C2F" w:rsidRPr="00001813" w:rsidRDefault="00DC5C2F" w:rsidP="00001813">
            <w:pPr>
              <w:rPr>
                <w:rFonts w:ascii="Calibri" w:eastAsia="Times New Roman" w:hAnsi="Calibri" w:cs="Times New Roman"/>
                <w:sz w:val="22"/>
                <w:szCs w:val="22"/>
              </w:rPr>
            </w:pPr>
          </w:p>
        </w:tc>
        <w:tc>
          <w:tcPr>
            <w:tcW w:w="900" w:type="dxa"/>
            <w:tcBorders>
              <w:left w:val="nil"/>
            </w:tcBorders>
            <w:vAlign w:val="center"/>
          </w:tcPr>
          <w:p w14:paraId="5D392C17" w14:textId="01959764" w:rsidR="00DC5C2F" w:rsidRPr="00C93390" w:rsidRDefault="00914746" w:rsidP="004A6613">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21%</w:t>
            </w:r>
          </w:p>
        </w:tc>
        <w:tc>
          <w:tcPr>
            <w:tcW w:w="2070" w:type="dxa"/>
            <w:tcBorders>
              <w:right w:val="single" w:sz="4" w:space="0" w:color="auto"/>
            </w:tcBorders>
            <w:shd w:val="clear" w:color="auto" w:fill="auto"/>
            <w:noWrap/>
            <w:vAlign w:val="center"/>
          </w:tcPr>
          <w:p w14:paraId="755D55AE" w14:textId="465049A4" w:rsidR="00DC5C2F" w:rsidRPr="00DC5C2F" w:rsidRDefault="00DC5C2F" w:rsidP="00001813">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IDP camps</w:t>
            </w:r>
          </w:p>
        </w:tc>
      </w:tr>
      <w:tr w:rsidR="00622B7A" w:rsidRPr="00001813" w14:paraId="11326520" w14:textId="77777777" w:rsidTr="00DF3855">
        <w:trPr>
          <w:trHeight w:hRule="exact" w:val="288"/>
          <w:jc w:val="center"/>
        </w:trPr>
        <w:tc>
          <w:tcPr>
            <w:tcW w:w="944" w:type="dxa"/>
            <w:vMerge/>
            <w:tcBorders>
              <w:left w:val="single" w:sz="4" w:space="0" w:color="auto"/>
              <w:right w:val="single" w:sz="4" w:space="0" w:color="auto"/>
            </w:tcBorders>
            <w:shd w:val="clear" w:color="auto" w:fill="auto"/>
            <w:vAlign w:val="center"/>
          </w:tcPr>
          <w:p w14:paraId="519D7CBF" w14:textId="77777777" w:rsidR="00DC5C2F" w:rsidRPr="00C93390" w:rsidRDefault="00DC5C2F" w:rsidP="00622B7A">
            <w:pPr>
              <w:jc w:val="center"/>
              <w:rPr>
                <w:rFonts w:ascii="Calibri" w:eastAsia="Times New Roman" w:hAnsi="Calibri" w:cs="Times New Roman"/>
                <w:b/>
                <w:bCs/>
                <w:sz w:val="20"/>
                <w:szCs w:val="20"/>
              </w:rPr>
            </w:pPr>
          </w:p>
        </w:tc>
        <w:tc>
          <w:tcPr>
            <w:tcW w:w="1530" w:type="dxa"/>
            <w:vMerge/>
            <w:tcBorders>
              <w:top w:val="single" w:sz="4" w:space="0" w:color="auto"/>
              <w:left w:val="nil"/>
              <w:bottom w:val="single" w:sz="4" w:space="0" w:color="auto"/>
              <w:right w:val="single" w:sz="4" w:space="0" w:color="auto"/>
            </w:tcBorders>
            <w:vAlign w:val="center"/>
          </w:tcPr>
          <w:p w14:paraId="21C77950" w14:textId="77777777" w:rsidR="00DC5C2F" w:rsidRPr="00DC5C2F" w:rsidRDefault="00DC5C2F" w:rsidP="00DC5C2F">
            <w:pPr>
              <w:jc w:val="center"/>
              <w:rPr>
                <w:rFonts w:ascii="Calibri" w:eastAsia="Times New Roman" w:hAnsi="Calibri" w:cs="Times New Roman"/>
                <w:sz w:val="18"/>
                <w:szCs w:val="18"/>
              </w:rPr>
            </w:pPr>
          </w:p>
        </w:tc>
        <w:tc>
          <w:tcPr>
            <w:tcW w:w="38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85C84D" w14:textId="77777777" w:rsidR="00DC5C2F" w:rsidRPr="00001813" w:rsidRDefault="00DC5C2F" w:rsidP="00001813">
            <w:pPr>
              <w:rPr>
                <w:rFonts w:ascii="Calibri" w:eastAsia="Times New Roman" w:hAnsi="Calibri" w:cs="Times New Roman"/>
                <w:sz w:val="22"/>
                <w:szCs w:val="22"/>
              </w:rPr>
            </w:pPr>
          </w:p>
        </w:tc>
        <w:tc>
          <w:tcPr>
            <w:tcW w:w="900" w:type="dxa"/>
            <w:tcBorders>
              <w:left w:val="nil"/>
            </w:tcBorders>
            <w:vAlign w:val="center"/>
          </w:tcPr>
          <w:p w14:paraId="336234CC" w14:textId="62DD9285" w:rsidR="00DC5C2F" w:rsidRPr="00C93390" w:rsidRDefault="00914746" w:rsidP="004A6613">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23%</w:t>
            </w:r>
          </w:p>
        </w:tc>
        <w:tc>
          <w:tcPr>
            <w:tcW w:w="2070" w:type="dxa"/>
            <w:tcBorders>
              <w:right w:val="single" w:sz="4" w:space="0" w:color="auto"/>
            </w:tcBorders>
            <w:shd w:val="clear" w:color="auto" w:fill="auto"/>
            <w:noWrap/>
            <w:vAlign w:val="center"/>
          </w:tcPr>
          <w:p w14:paraId="599055A4" w14:textId="1125E130" w:rsidR="00DC5C2F" w:rsidRPr="00DC5C2F" w:rsidRDefault="00DC5C2F" w:rsidP="00001813">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Villages near Camps</w:t>
            </w:r>
          </w:p>
        </w:tc>
      </w:tr>
      <w:tr w:rsidR="00622B7A" w:rsidRPr="00001813" w14:paraId="505677B7" w14:textId="77777777" w:rsidTr="00DF3855">
        <w:trPr>
          <w:trHeight w:hRule="exact" w:val="288"/>
          <w:jc w:val="center"/>
        </w:trPr>
        <w:tc>
          <w:tcPr>
            <w:tcW w:w="944" w:type="dxa"/>
            <w:vMerge/>
            <w:tcBorders>
              <w:left w:val="single" w:sz="4" w:space="0" w:color="auto"/>
              <w:bottom w:val="single" w:sz="4" w:space="0" w:color="auto"/>
              <w:right w:val="single" w:sz="4" w:space="0" w:color="auto"/>
            </w:tcBorders>
            <w:shd w:val="clear" w:color="auto" w:fill="auto"/>
            <w:vAlign w:val="center"/>
          </w:tcPr>
          <w:p w14:paraId="2F33A761" w14:textId="77777777" w:rsidR="00DC5C2F" w:rsidRPr="00C93390" w:rsidRDefault="00DC5C2F" w:rsidP="00622B7A">
            <w:pPr>
              <w:jc w:val="center"/>
              <w:rPr>
                <w:rFonts w:ascii="Calibri" w:eastAsia="Times New Roman" w:hAnsi="Calibri" w:cs="Times New Roman"/>
                <w:b/>
                <w:bCs/>
                <w:sz w:val="20"/>
                <w:szCs w:val="20"/>
              </w:rPr>
            </w:pPr>
          </w:p>
        </w:tc>
        <w:tc>
          <w:tcPr>
            <w:tcW w:w="1530" w:type="dxa"/>
            <w:vMerge/>
            <w:tcBorders>
              <w:top w:val="single" w:sz="4" w:space="0" w:color="auto"/>
              <w:left w:val="nil"/>
              <w:bottom w:val="single" w:sz="4" w:space="0" w:color="auto"/>
              <w:right w:val="single" w:sz="4" w:space="0" w:color="auto"/>
            </w:tcBorders>
            <w:vAlign w:val="center"/>
          </w:tcPr>
          <w:p w14:paraId="6BA908FB" w14:textId="77777777" w:rsidR="00DC5C2F" w:rsidRPr="00DC5C2F" w:rsidRDefault="00DC5C2F" w:rsidP="00DC5C2F">
            <w:pPr>
              <w:jc w:val="center"/>
              <w:rPr>
                <w:rFonts w:ascii="Calibri" w:eastAsia="Times New Roman" w:hAnsi="Calibri" w:cs="Times New Roman"/>
                <w:sz w:val="18"/>
                <w:szCs w:val="18"/>
              </w:rPr>
            </w:pPr>
          </w:p>
        </w:tc>
        <w:tc>
          <w:tcPr>
            <w:tcW w:w="38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CA6FBB" w14:textId="77777777" w:rsidR="00DC5C2F" w:rsidRPr="00001813" w:rsidRDefault="00DC5C2F" w:rsidP="00001813">
            <w:pPr>
              <w:rPr>
                <w:rFonts w:ascii="Calibri" w:eastAsia="Times New Roman" w:hAnsi="Calibri" w:cs="Times New Roman"/>
                <w:sz w:val="22"/>
                <w:szCs w:val="22"/>
              </w:rPr>
            </w:pPr>
          </w:p>
        </w:tc>
        <w:tc>
          <w:tcPr>
            <w:tcW w:w="900" w:type="dxa"/>
            <w:tcBorders>
              <w:left w:val="nil"/>
              <w:bottom w:val="single" w:sz="4" w:space="0" w:color="auto"/>
            </w:tcBorders>
            <w:vAlign w:val="center"/>
          </w:tcPr>
          <w:p w14:paraId="472D3E29" w14:textId="37DD0977" w:rsidR="00DC5C2F" w:rsidRPr="00C93390" w:rsidRDefault="00271D97" w:rsidP="004A6613">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19</w:t>
            </w:r>
            <w:r w:rsidR="00914746">
              <w:rPr>
                <w:rFonts w:ascii="Calibri" w:eastAsia="Times New Roman" w:hAnsi="Calibri" w:cs="Times New Roman"/>
                <w:color w:val="000000"/>
                <w:sz w:val="20"/>
                <w:szCs w:val="20"/>
              </w:rPr>
              <w:t>%</w:t>
            </w:r>
          </w:p>
        </w:tc>
        <w:tc>
          <w:tcPr>
            <w:tcW w:w="2070" w:type="dxa"/>
            <w:tcBorders>
              <w:bottom w:val="single" w:sz="4" w:space="0" w:color="auto"/>
              <w:right w:val="single" w:sz="4" w:space="0" w:color="auto"/>
            </w:tcBorders>
            <w:shd w:val="clear" w:color="auto" w:fill="auto"/>
            <w:noWrap/>
            <w:vAlign w:val="center"/>
          </w:tcPr>
          <w:p w14:paraId="2DB693F2" w14:textId="753CA249" w:rsidR="00DC5C2F" w:rsidRPr="00DC5C2F" w:rsidRDefault="00DC5C2F" w:rsidP="00001813">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Remote villages</w:t>
            </w:r>
          </w:p>
        </w:tc>
      </w:tr>
      <w:tr w:rsidR="00622B7A" w:rsidRPr="00001813" w14:paraId="6C4D3437" w14:textId="77777777" w:rsidTr="00DF3855">
        <w:trPr>
          <w:trHeight w:hRule="exact" w:val="288"/>
          <w:jc w:val="center"/>
        </w:trPr>
        <w:tc>
          <w:tcPr>
            <w:tcW w:w="944" w:type="dxa"/>
            <w:vMerge w:val="restart"/>
            <w:tcBorders>
              <w:top w:val="single" w:sz="4" w:space="0" w:color="auto"/>
              <w:left w:val="single" w:sz="4" w:space="0" w:color="auto"/>
              <w:right w:val="single" w:sz="4" w:space="0" w:color="auto"/>
            </w:tcBorders>
            <w:shd w:val="clear" w:color="auto" w:fill="auto"/>
            <w:vAlign w:val="center"/>
          </w:tcPr>
          <w:p w14:paraId="203B884A" w14:textId="7849EC15" w:rsidR="00DC5C2F" w:rsidRPr="00C93390" w:rsidRDefault="00DC5C2F" w:rsidP="00622B7A">
            <w:pPr>
              <w:jc w:val="center"/>
              <w:rPr>
                <w:rFonts w:ascii="Calibri" w:eastAsia="Times New Roman" w:hAnsi="Calibri" w:cs="Times New Roman"/>
                <w:b/>
                <w:bCs/>
                <w:sz w:val="20"/>
                <w:szCs w:val="20"/>
              </w:rPr>
            </w:pPr>
            <w:r w:rsidRPr="00C93390">
              <w:rPr>
                <w:rFonts w:ascii="Calibri" w:eastAsia="Times New Roman" w:hAnsi="Calibri" w:cs="Times New Roman"/>
                <w:b/>
                <w:bCs/>
                <w:sz w:val="20"/>
                <w:szCs w:val="20"/>
              </w:rPr>
              <w:t>Output indicator 4.2</w:t>
            </w:r>
          </w:p>
        </w:tc>
        <w:tc>
          <w:tcPr>
            <w:tcW w:w="1530" w:type="dxa"/>
            <w:vMerge w:val="restart"/>
            <w:tcBorders>
              <w:top w:val="single" w:sz="4" w:space="0" w:color="auto"/>
              <w:left w:val="nil"/>
              <w:bottom w:val="single" w:sz="4" w:space="0" w:color="auto"/>
              <w:right w:val="single" w:sz="4" w:space="0" w:color="auto"/>
            </w:tcBorders>
            <w:vAlign w:val="center"/>
          </w:tcPr>
          <w:p w14:paraId="26E84C6F" w14:textId="5EDDE1D1" w:rsidR="00DC5C2F" w:rsidRPr="00DC5C2F" w:rsidRDefault="00DC5C2F" w:rsidP="00DC5C2F">
            <w:pPr>
              <w:jc w:val="center"/>
              <w:rPr>
                <w:rFonts w:ascii="Calibri" w:eastAsia="Times New Roman" w:hAnsi="Calibri" w:cs="Times New Roman"/>
                <w:sz w:val="18"/>
                <w:szCs w:val="18"/>
              </w:rPr>
            </w:pPr>
            <w:r w:rsidRPr="00DC5C2F">
              <w:rPr>
                <w:rFonts w:ascii="Calibri" w:eastAsia="Times New Roman" w:hAnsi="Calibri" w:cs="Times New Roman"/>
                <w:color w:val="000000"/>
                <w:sz w:val="18"/>
                <w:szCs w:val="18"/>
              </w:rPr>
              <w:t>KAP Questionnaire</w:t>
            </w:r>
          </w:p>
        </w:tc>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C91817" w14:textId="599AEB6C" w:rsidR="00DC5C2F" w:rsidRPr="00001813" w:rsidRDefault="00DC5C2F" w:rsidP="00001813">
            <w:pPr>
              <w:rPr>
                <w:rFonts w:ascii="Calibri" w:eastAsia="Times New Roman" w:hAnsi="Calibri" w:cs="Times New Roman"/>
                <w:sz w:val="22"/>
                <w:szCs w:val="22"/>
              </w:rPr>
            </w:pPr>
            <w:r w:rsidRPr="00001813">
              <w:rPr>
                <w:rFonts w:ascii="Calibri" w:eastAsia="Times New Roman" w:hAnsi="Calibri" w:cs="Times New Roman"/>
                <w:sz w:val="22"/>
                <w:szCs w:val="22"/>
              </w:rPr>
              <w:t xml:space="preserve">% </w:t>
            </w:r>
            <w:proofErr w:type="gramStart"/>
            <w:r w:rsidRPr="00001813">
              <w:rPr>
                <w:rFonts w:ascii="Calibri" w:eastAsia="Times New Roman" w:hAnsi="Calibri" w:cs="Times New Roman"/>
                <w:sz w:val="22"/>
                <w:szCs w:val="22"/>
              </w:rPr>
              <w:t>of</w:t>
            </w:r>
            <w:proofErr w:type="gramEnd"/>
            <w:r w:rsidRPr="00001813">
              <w:rPr>
                <w:rFonts w:ascii="Calibri" w:eastAsia="Times New Roman" w:hAnsi="Calibri" w:cs="Times New Roman"/>
                <w:sz w:val="22"/>
                <w:szCs w:val="22"/>
              </w:rPr>
              <w:t xml:space="preserve"> caregivers reporting they dispose of child faeces in a hygienic manner.</w:t>
            </w:r>
          </w:p>
        </w:tc>
        <w:tc>
          <w:tcPr>
            <w:tcW w:w="900" w:type="dxa"/>
            <w:tcBorders>
              <w:top w:val="single" w:sz="4" w:space="0" w:color="auto"/>
              <w:left w:val="nil"/>
            </w:tcBorders>
            <w:vAlign w:val="center"/>
          </w:tcPr>
          <w:p w14:paraId="15ADF510" w14:textId="066CA0CE" w:rsidR="00DC5C2F" w:rsidRPr="00C93390" w:rsidRDefault="001216DF" w:rsidP="004A6613">
            <w:pPr>
              <w:jc w:val="center"/>
              <w:rPr>
                <w:rFonts w:ascii="Calibri" w:eastAsia="Times New Roman" w:hAnsi="Calibri" w:cs="Times New Roman"/>
                <w:b/>
                <w:color w:val="000000"/>
                <w:sz w:val="22"/>
                <w:szCs w:val="22"/>
              </w:rPr>
            </w:pPr>
            <w:r>
              <w:rPr>
                <w:rFonts w:ascii="Calibri" w:eastAsia="Times New Roman" w:hAnsi="Calibri" w:cs="Times New Roman"/>
                <w:b/>
                <w:color w:val="000000"/>
                <w:sz w:val="22"/>
                <w:szCs w:val="22"/>
              </w:rPr>
              <w:t>44</w:t>
            </w:r>
            <w:r w:rsidR="00DC5C2F" w:rsidRPr="00C93390">
              <w:rPr>
                <w:rFonts w:ascii="Calibri" w:eastAsia="Times New Roman" w:hAnsi="Calibri" w:cs="Times New Roman"/>
                <w:b/>
                <w:color w:val="000000"/>
                <w:sz w:val="22"/>
                <w:szCs w:val="22"/>
              </w:rPr>
              <w:t>%</w:t>
            </w:r>
          </w:p>
        </w:tc>
        <w:tc>
          <w:tcPr>
            <w:tcW w:w="2070" w:type="dxa"/>
            <w:tcBorders>
              <w:top w:val="single" w:sz="4" w:space="0" w:color="auto"/>
              <w:right w:val="single" w:sz="4" w:space="0" w:color="auto"/>
            </w:tcBorders>
            <w:shd w:val="clear" w:color="auto" w:fill="auto"/>
            <w:noWrap/>
            <w:vAlign w:val="center"/>
          </w:tcPr>
          <w:p w14:paraId="4D9F1DF6" w14:textId="51BD5172" w:rsidR="00DC5C2F" w:rsidRPr="00271D97" w:rsidRDefault="00DC5C2F" w:rsidP="00001813">
            <w:pPr>
              <w:rPr>
                <w:rFonts w:ascii="Calibri" w:eastAsia="Times New Roman" w:hAnsi="Calibri" w:cs="Times New Roman"/>
                <w:b/>
                <w:color w:val="000000"/>
                <w:sz w:val="18"/>
                <w:szCs w:val="18"/>
              </w:rPr>
            </w:pPr>
            <w:r w:rsidRPr="00271D97">
              <w:rPr>
                <w:rFonts w:ascii="Calibri" w:eastAsia="Times New Roman" w:hAnsi="Calibri" w:cs="Times New Roman"/>
                <w:b/>
                <w:color w:val="000000"/>
                <w:sz w:val="18"/>
                <w:szCs w:val="18"/>
              </w:rPr>
              <w:t>Camps &amp; Villages</w:t>
            </w:r>
          </w:p>
        </w:tc>
      </w:tr>
      <w:tr w:rsidR="00622B7A" w:rsidRPr="00001813" w14:paraId="689A0F7E" w14:textId="77777777" w:rsidTr="00DF3855">
        <w:trPr>
          <w:trHeight w:hRule="exact" w:val="288"/>
          <w:jc w:val="center"/>
        </w:trPr>
        <w:tc>
          <w:tcPr>
            <w:tcW w:w="944" w:type="dxa"/>
            <w:vMerge/>
            <w:tcBorders>
              <w:left w:val="single" w:sz="4" w:space="0" w:color="auto"/>
              <w:right w:val="single" w:sz="4" w:space="0" w:color="auto"/>
            </w:tcBorders>
            <w:shd w:val="clear" w:color="auto" w:fill="auto"/>
            <w:vAlign w:val="center"/>
          </w:tcPr>
          <w:p w14:paraId="555E295B" w14:textId="094D5F33" w:rsidR="00DC5C2F" w:rsidRPr="00C93390" w:rsidRDefault="00DC5C2F" w:rsidP="00622B7A">
            <w:pPr>
              <w:jc w:val="center"/>
              <w:rPr>
                <w:rFonts w:ascii="Calibri" w:eastAsia="Times New Roman" w:hAnsi="Calibri" w:cs="Times New Roman"/>
                <w:b/>
                <w:bCs/>
                <w:sz w:val="20"/>
                <w:szCs w:val="20"/>
              </w:rPr>
            </w:pPr>
          </w:p>
        </w:tc>
        <w:tc>
          <w:tcPr>
            <w:tcW w:w="1530" w:type="dxa"/>
            <w:vMerge/>
            <w:tcBorders>
              <w:top w:val="single" w:sz="4" w:space="0" w:color="auto"/>
              <w:left w:val="nil"/>
              <w:bottom w:val="single" w:sz="4" w:space="0" w:color="auto"/>
              <w:right w:val="single" w:sz="4" w:space="0" w:color="auto"/>
            </w:tcBorders>
            <w:vAlign w:val="center"/>
          </w:tcPr>
          <w:p w14:paraId="186572C2" w14:textId="77777777" w:rsidR="00DC5C2F" w:rsidRPr="00DC5C2F" w:rsidRDefault="00DC5C2F" w:rsidP="00DC5C2F">
            <w:pPr>
              <w:jc w:val="center"/>
              <w:rPr>
                <w:rFonts w:ascii="Calibri" w:eastAsia="Times New Roman" w:hAnsi="Calibri" w:cs="Times New Roman"/>
                <w:sz w:val="18"/>
                <w:szCs w:val="18"/>
              </w:rPr>
            </w:pPr>
          </w:p>
        </w:tc>
        <w:tc>
          <w:tcPr>
            <w:tcW w:w="38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F04922" w14:textId="7F96DCA0" w:rsidR="00DC5C2F" w:rsidRPr="00001813" w:rsidRDefault="00DC5C2F" w:rsidP="00001813">
            <w:pPr>
              <w:rPr>
                <w:rFonts w:ascii="Calibri" w:eastAsia="Times New Roman" w:hAnsi="Calibri" w:cs="Times New Roman"/>
                <w:sz w:val="22"/>
                <w:szCs w:val="22"/>
              </w:rPr>
            </w:pPr>
          </w:p>
        </w:tc>
        <w:tc>
          <w:tcPr>
            <w:tcW w:w="900" w:type="dxa"/>
            <w:tcBorders>
              <w:left w:val="nil"/>
            </w:tcBorders>
            <w:vAlign w:val="center"/>
          </w:tcPr>
          <w:p w14:paraId="4B3249DC" w14:textId="1061AF18" w:rsidR="00DC5C2F" w:rsidRPr="00C93390" w:rsidRDefault="001216DF" w:rsidP="004A6613">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55%</w:t>
            </w:r>
          </w:p>
        </w:tc>
        <w:tc>
          <w:tcPr>
            <w:tcW w:w="2070" w:type="dxa"/>
            <w:tcBorders>
              <w:right w:val="single" w:sz="4" w:space="0" w:color="auto"/>
            </w:tcBorders>
            <w:shd w:val="clear" w:color="auto" w:fill="auto"/>
            <w:noWrap/>
            <w:vAlign w:val="center"/>
          </w:tcPr>
          <w:p w14:paraId="634852B7" w14:textId="66EA702F" w:rsidR="00DC5C2F" w:rsidRPr="00DC5C2F" w:rsidRDefault="00DC5C2F" w:rsidP="00001813">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IDP camps</w:t>
            </w:r>
          </w:p>
        </w:tc>
      </w:tr>
      <w:tr w:rsidR="00622B7A" w:rsidRPr="00001813" w14:paraId="47323984" w14:textId="77777777" w:rsidTr="00DF3855">
        <w:trPr>
          <w:trHeight w:hRule="exact" w:val="288"/>
          <w:jc w:val="center"/>
        </w:trPr>
        <w:tc>
          <w:tcPr>
            <w:tcW w:w="944" w:type="dxa"/>
            <w:vMerge/>
            <w:tcBorders>
              <w:left w:val="single" w:sz="4" w:space="0" w:color="auto"/>
              <w:right w:val="single" w:sz="4" w:space="0" w:color="auto"/>
            </w:tcBorders>
            <w:shd w:val="clear" w:color="auto" w:fill="auto"/>
            <w:vAlign w:val="center"/>
            <w:hideMark/>
          </w:tcPr>
          <w:p w14:paraId="4CA19149" w14:textId="21B2844D" w:rsidR="00DC5C2F" w:rsidRPr="00C93390" w:rsidRDefault="00DC5C2F" w:rsidP="00622B7A">
            <w:pPr>
              <w:jc w:val="center"/>
              <w:rPr>
                <w:rFonts w:ascii="Calibri" w:eastAsia="Times New Roman" w:hAnsi="Calibri" w:cs="Times New Roman"/>
                <w:b/>
                <w:bCs/>
                <w:sz w:val="20"/>
                <w:szCs w:val="20"/>
              </w:rPr>
            </w:pPr>
          </w:p>
        </w:tc>
        <w:tc>
          <w:tcPr>
            <w:tcW w:w="1530" w:type="dxa"/>
            <w:vMerge/>
            <w:tcBorders>
              <w:top w:val="single" w:sz="4" w:space="0" w:color="auto"/>
              <w:left w:val="nil"/>
              <w:bottom w:val="single" w:sz="4" w:space="0" w:color="auto"/>
              <w:right w:val="single" w:sz="4" w:space="0" w:color="auto"/>
            </w:tcBorders>
            <w:vAlign w:val="center"/>
          </w:tcPr>
          <w:p w14:paraId="55993A53" w14:textId="77777777" w:rsidR="00DC5C2F" w:rsidRPr="00DC5C2F" w:rsidRDefault="00DC5C2F" w:rsidP="00DC5C2F">
            <w:pPr>
              <w:jc w:val="center"/>
              <w:rPr>
                <w:rFonts w:ascii="Calibri" w:eastAsia="Times New Roman" w:hAnsi="Calibri" w:cs="Times New Roman"/>
                <w:sz w:val="18"/>
                <w:szCs w:val="18"/>
              </w:rPr>
            </w:pPr>
          </w:p>
        </w:tc>
        <w:tc>
          <w:tcPr>
            <w:tcW w:w="38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4F86F1" w14:textId="1D6F9C2D" w:rsidR="00DC5C2F" w:rsidRPr="00001813" w:rsidRDefault="00DC5C2F" w:rsidP="00001813">
            <w:pPr>
              <w:rPr>
                <w:rFonts w:ascii="Calibri" w:eastAsia="Times New Roman" w:hAnsi="Calibri" w:cs="Times New Roman"/>
                <w:sz w:val="22"/>
                <w:szCs w:val="22"/>
              </w:rPr>
            </w:pPr>
          </w:p>
        </w:tc>
        <w:tc>
          <w:tcPr>
            <w:tcW w:w="900" w:type="dxa"/>
            <w:tcBorders>
              <w:left w:val="nil"/>
            </w:tcBorders>
            <w:vAlign w:val="center"/>
          </w:tcPr>
          <w:p w14:paraId="0E40C20C" w14:textId="0E86DE4C" w:rsidR="00DC5C2F" w:rsidRPr="00C93390" w:rsidRDefault="001216DF" w:rsidP="004A6613">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35%</w:t>
            </w:r>
          </w:p>
        </w:tc>
        <w:tc>
          <w:tcPr>
            <w:tcW w:w="2070" w:type="dxa"/>
            <w:tcBorders>
              <w:right w:val="single" w:sz="4" w:space="0" w:color="auto"/>
            </w:tcBorders>
            <w:shd w:val="clear" w:color="auto" w:fill="auto"/>
            <w:noWrap/>
            <w:vAlign w:val="center"/>
            <w:hideMark/>
          </w:tcPr>
          <w:p w14:paraId="1EF8BB32" w14:textId="4ADE98E2" w:rsidR="00DC5C2F" w:rsidRPr="00DC5C2F" w:rsidRDefault="00DC5C2F" w:rsidP="00001813">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Villages near Camps</w:t>
            </w:r>
          </w:p>
        </w:tc>
      </w:tr>
      <w:tr w:rsidR="00622B7A" w:rsidRPr="00001813" w14:paraId="35685FDC" w14:textId="77777777" w:rsidTr="00DF3855">
        <w:trPr>
          <w:trHeight w:hRule="exact" w:val="288"/>
          <w:jc w:val="center"/>
        </w:trPr>
        <w:tc>
          <w:tcPr>
            <w:tcW w:w="944" w:type="dxa"/>
            <w:vMerge/>
            <w:tcBorders>
              <w:left w:val="single" w:sz="4" w:space="0" w:color="auto"/>
              <w:bottom w:val="single" w:sz="4" w:space="0" w:color="auto"/>
              <w:right w:val="single" w:sz="4" w:space="0" w:color="auto"/>
            </w:tcBorders>
            <w:shd w:val="clear" w:color="auto" w:fill="auto"/>
            <w:vAlign w:val="center"/>
          </w:tcPr>
          <w:p w14:paraId="17E8C761" w14:textId="77777777" w:rsidR="00DC5C2F" w:rsidRPr="00C93390" w:rsidRDefault="00DC5C2F" w:rsidP="00622B7A">
            <w:pPr>
              <w:jc w:val="center"/>
              <w:rPr>
                <w:rFonts w:ascii="Calibri" w:eastAsia="Times New Roman" w:hAnsi="Calibri" w:cs="Times New Roman"/>
                <w:b/>
                <w:bCs/>
                <w:sz w:val="20"/>
                <w:szCs w:val="20"/>
              </w:rPr>
            </w:pPr>
          </w:p>
        </w:tc>
        <w:tc>
          <w:tcPr>
            <w:tcW w:w="1530" w:type="dxa"/>
            <w:vMerge/>
            <w:tcBorders>
              <w:top w:val="single" w:sz="4" w:space="0" w:color="auto"/>
              <w:left w:val="nil"/>
              <w:bottom w:val="single" w:sz="4" w:space="0" w:color="auto"/>
              <w:right w:val="single" w:sz="4" w:space="0" w:color="auto"/>
            </w:tcBorders>
            <w:vAlign w:val="center"/>
          </w:tcPr>
          <w:p w14:paraId="58359F04" w14:textId="77777777" w:rsidR="00DC5C2F" w:rsidRPr="00DC5C2F" w:rsidRDefault="00DC5C2F" w:rsidP="00DC5C2F">
            <w:pPr>
              <w:jc w:val="center"/>
              <w:rPr>
                <w:rFonts w:ascii="Calibri" w:eastAsia="Times New Roman" w:hAnsi="Calibri" w:cs="Times New Roman"/>
                <w:sz w:val="18"/>
                <w:szCs w:val="18"/>
              </w:rPr>
            </w:pPr>
          </w:p>
        </w:tc>
        <w:tc>
          <w:tcPr>
            <w:tcW w:w="38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2240EF" w14:textId="77777777" w:rsidR="00DC5C2F" w:rsidRPr="00001813" w:rsidRDefault="00DC5C2F" w:rsidP="00001813">
            <w:pPr>
              <w:rPr>
                <w:rFonts w:ascii="Calibri" w:eastAsia="Times New Roman" w:hAnsi="Calibri" w:cs="Times New Roman"/>
                <w:sz w:val="22"/>
                <w:szCs w:val="22"/>
              </w:rPr>
            </w:pPr>
          </w:p>
        </w:tc>
        <w:tc>
          <w:tcPr>
            <w:tcW w:w="900" w:type="dxa"/>
            <w:tcBorders>
              <w:left w:val="nil"/>
              <w:bottom w:val="single" w:sz="4" w:space="0" w:color="auto"/>
            </w:tcBorders>
            <w:vAlign w:val="center"/>
          </w:tcPr>
          <w:p w14:paraId="6921DA8D" w14:textId="670AD463" w:rsidR="00DC5C2F" w:rsidRPr="00C93390" w:rsidRDefault="001216DF" w:rsidP="004A6613">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27%</w:t>
            </w:r>
          </w:p>
        </w:tc>
        <w:tc>
          <w:tcPr>
            <w:tcW w:w="2070" w:type="dxa"/>
            <w:tcBorders>
              <w:bottom w:val="single" w:sz="4" w:space="0" w:color="auto"/>
              <w:right w:val="single" w:sz="4" w:space="0" w:color="auto"/>
            </w:tcBorders>
            <w:shd w:val="clear" w:color="auto" w:fill="auto"/>
            <w:noWrap/>
            <w:vAlign w:val="center"/>
          </w:tcPr>
          <w:p w14:paraId="52CA493C" w14:textId="589BFFD3" w:rsidR="00DC5C2F" w:rsidRPr="00DC5C2F" w:rsidRDefault="00DC5C2F" w:rsidP="00001813">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Remote villages</w:t>
            </w:r>
          </w:p>
        </w:tc>
      </w:tr>
      <w:tr w:rsidR="00622B7A" w:rsidRPr="00001813" w14:paraId="1448F58F" w14:textId="77777777" w:rsidTr="00DF3855">
        <w:trPr>
          <w:trHeight w:hRule="exact" w:val="288"/>
          <w:jc w:val="center"/>
        </w:trPr>
        <w:tc>
          <w:tcPr>
            <w:tcW w:w="944" w:type="dxa"/>
            <w:vMerge w:val="restart"/>
            <w:tcBorders>
              <w:top w:val="single" w:sz="4" w:space="0" w:color="auto"/>
              <w:left w:val="single" w:sz="4" w:space="0" w:color="auto"/>
              <w:right w:val="single" w:sz="4" w:space="0" w:color="auto"/>
            </w:tcBorders>
            <w:shd w:val="clear" w:color="auto" w:fill="auto"/>
            <w:vAlign w:val="center"/>
          </w:tcPr>
          <w:p w14:paraId="00324554" w14:textId="6999CC73" w:rsidR="00DC5C2F" w:rsidRPr="00C93390" w:rsidRDefault="00DC5C2F" w:rsidP="00622B7A">
            <w:pPr>
              <w:jc w:val="center"/>
              <w:rPr>
                <w:rFonts w:ascii="Calibri" w:eastAsia="Times New Roman" w:hAnsi="Calibri" w:cs="Times New Roman"/>
                <w:b/>
                <w:bCs/>
                <w:sz w:val="20"/>
                <w:szCs w:val="20"/>
              </w:rPr>
            </w:pPr>
            <w:r w:rsidRPr="00C93390">
              <w:rPr>
                <w:rFonts w:ascii="Calibri" w:eastAsia="Times New Roman" w:hAnsi="Calibri" w:cs="Times New Roman"/>
                <w:b/>
                <w:bCs/>
                <w:sz w:val="20"/>
                <w:szCs w:val="20"/>
              </w:rPr>
              <w:t>Output indicator 4.3</w:t>
            </w:r>
          </w:p>
        </w:tc>
        <w:tc>
          <w:tcPr>
            <w:tcW w:w="1530" w:type="dxa"/>
            <w:vMerge w:val="restart"/>
            <w:tcBorders>
              <w:top w:val="single" w:sz="4" w:space="0" w:color="auto"/>
              <w:left w:val="nil"/>
              <w:bottom w:val="single" w:sz="4" w:space="0" w:color="auto"/>
              <w:right w:val="single" w:sz="4" w:space="0" w:color="auto"/>
            </w:tcBorders>
            <w:vAlign w:val="center"/>
          </w:tcPr>
          <w:p w14:paraId="2F8F9895" w14:textId="77777777" w:rsidR="00DC5C2F" w:rsidRPr="00DC5C2F" w:rsidRDefault="00DC5C2F" w:rsidP="00DC5C2F">
            <w:pPr>
              <w:jc w:val="center"/>
              <w:rPr>
                <w:rFonts w:ascii="Calibri" w:eastAsia="Times New Roman" w:hAnsi="Calibri" w:cs="Times New Roman"/>
                <w:sz w:val="18"/>
                <w:szCs w:val="18"/>
              </w:rPr>
            </w:pPr>
            <w:r w:rsidRPr="00DC5C2F">
              <w:rPr>
                <w:rFonts w:ascii="Calibri" w:eastAsia="Times New Roman" w:hAnsi="Calibri" w:cs="Times New Roman"/>
                <w:sz w:val="18"/>
                <w:szCs w:val="18"/>
              </w:rPr>
              <w:t>HH Sanitary Survey</w:t>
            </w:r>
          </w:p>
          <w:p w14:paraId="239A6928" w14:textId="77777777" w:rsidR="00DC5C2F" w:rsidRPr="00DC5C2F" w:rsidRDefault="00DC5C2F" w:rsidP="00DC5C2F">
            <w:pPr>
              <w:jc w:val="center"/>
              <w:rPr>
                <w:rFonts w:ascii="Calibri" w:eastAsia="Times New Roman" w:hAnsi="Calibri" w:cs="Times New Roman"/>
                <w:sz w:val="18"/>
                <w:szCs w:val="18"/>
              </w:rPr>
            </w:pPr>
          </w:p>
        </w:tc>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C0DB80" w14:textId="17F6BD1B" w:rsidR="00DC5C2F" w:rsidRPr="00001813" w:rsidRDefault="00DC5C2F" w:rsidP="00001813">
            <w:pPr>
              <w:rPr>
                <w:rFonts w:ascii="Calibri" w:eastAsia="Times New Roman" w:hAnsi="Calibri" w:cs="Times New Roman"/>
                <w:sz w:val="22"/>
                <w:szCs w:val="22"/>
              </w:rPr>
            </w:pPr>
            <w:r w:rsidRPr="00001813">
              <w:rPr>
                <w:rFonts w:ascii="Calibri" w:eastAsia="Times New Roman" w:hAnsi="Calibri" w:cs="Times New Roman"/>
                <w:sz w:val="22"/>
                <w:szCs w:val="22"/>
              </w:rPr>
              <w:t xml:space="preserve">% </w:t>
            </w:r>
            <w:proofErr w:type="gramStart"/>
            <w:r w:rsidRPr="00001813">
              <w:rPr>
                <w:rFonts w:ascii="Calibri" w:eastAsia="Times New Roman" w:hAnsi="Calibri" w:cs="Times New Roman"/>
                <w:sz w:val="22"/>
                <w:szCs w:val="22"/>
              </w:rPr>
              <w:t>of</w:t>
            </w:r>
            <w:proofErr w:type="gramEnd"/>
            <w:r w:rsidRPr="00001813">
              <w:rPr>
                <w:rFonts w:ascii="Calibri" w:eastAsia="Times New Roman" w:hAnsi="Calibri" w:cs="Times New Roman"/>
                <w:sz w:val="22"/>
                <w:szCs w:val="22"/>
              </w:rPr>
              <w:t xml:space="preserve"> targeted beneficiaries practicing safe water management in the home</w:t>
            </w:r>
          </w:p>
        </w:tc>
        <w:tc>
          <w:tcPr>
            <w:tcW w:w="900" w:type="dxa"/>
            <w:tcBorders>
              <w:top w:val="single" w:sz="4" w:space="0" w:color="auto"/>
              <w:left w:val="single" w:sz="4" w:space="0" w:color="auto"/>
            </w:tcBorders>
            <w:vAlign w:val="center"/>
          </w:tcPr>
          <w:p w14:paraId="02B1C007" w14:textId="446DE81B" w:rsidR="00DC5C2F" w:rsidRPr="00C93390" w:rsidRDefault="00DC5C2F" w:rsidP="004A6613">
            <w:pPr>
              <w:jc w:val="center"/>
              <w:rPr>
                <w:rFonts w:ascii="Calibri" w:eastAsia="Times New Roman" w:hAnsi="Calibri" w:cs="Times New Roman"/>
                <w:b/>
                <w:color w:val="000000"/>
                <w:sz w:val="22"/>
                <w:szCs w:val="22"/>
              </w:rPr>
            </w:pPr>
            <w:r w:rsidRPr="00C93390">
              <w:rPr>
                <w:rFonts w:ascii="Calibri" w:eastAsia="Times New Roman" w:hAnsi="Calibri" w:cs="Times New Roman"/>
                <w:b/>
                <w:color w:val="000000"/>
                <w:sz w:val="22"/>
                <w:szCs w:val="22"/>
              </w:rPr>
              <w:t>31%</w:t>
            </w:r>
          </w:p>
        </w:tc>
        <w:tc>
          <w:tcPr>
            <w:tcW w:w="2070" w:type="dxa"/>
            <w:tcBorders>
              <w:top w:val="single" w:sz="4" w:space="0" w:color="auto"/>
              <w:right w:val="single" w:sz="4" w:space="0" w:color="auto"/>
            </w:tcBorders>
            <w:shd w:val="clear" w:color="auto" w:fill="auto"/>
            <w:noWrap/>
            <w:vAlign w:val="center"/>
          </w:tcPr>
          <w:p w14:paraId="78209033" w14:textId="13B1E52D" w:rsidR="00DC5C2F" w:rsidRPr="00271D97" w:rsidRDefault="00DC5C2F" w:rsidP="00001813">
            <w:pPr>
              <w:rPr>
                <w:rFonts w:ascii="Calibri" w:eastAsia="Times New Roman" w:hAnsi="Calibri" w:cs="Times New Roman"/>
                <w:b/>
                <w:color w:val="000000"/>
                <w:sz w:val="18"/>
                <w:szCs w:val="18"/>
              </w:rPr>
            </w:pPr>
            <w:r w:rsidRPr="00271D97">
              <w:rPr>
                <w:rFonts w:ascii="Calibri" w:eastAsia="Times New Roman" w:hAnsi="Calibri" w:cs="Times New Roman"/>
                <w:b/>
                <w:color w:val="000000"/>
                <w:sz w:val="18"/>
                <w:szCs w:val="18"/>
              </w:rPr>
              <w:t>Camps &amp; Villages</w:t>
            </w:r>
          </w:p>
        </w:tc>
      </w:tr>
      <w:tr w:rsidR="00622B7A" w:rsidRPr="00001813" w14:paraId="7EDC027F" w14:textId="77777777" w:rsidTr="00DF3855">
        <w:trPr>
          <w:trHeight w:hRule="exact" w:val="288"/>
          <w:jc w:val="center"/>
        </w:trPr>
        <w:tc>
          <w:tcPr>
            <w:tcW w:w="944" w:type="dxa"/>
            <w:vMerge/>
            <w:tcBorders>
              <w:left w:val="single" w:sz="4" w:space="0" w:color="auto"/>
              <w:right w:val="single" w:sz="4" w:space="0" w:color="auto"/>
            </w:tcBorders>
            <w:shd w:val="clear" w:color="auto" w:fill="auto"/>
            <w:vAlign w:val="center"/>
          </w:tcPr>
          <w:p w14:paraId="21AA990A" w14:textId="6F6750F5" w:rsidR="00DC5C2F" w:rsidRPr="00C93390" w:rsidRDefault="00DC5C2F" w:rsidP="00622B7A">
            <w:pPr>
              <w:jc w:val="center"/>
              <w:rPr>
                <w:rFonts w:ascii="Calibri" w:eastAsia="Times New Roman" w:hAnsi="Calibri" w:cs="Times New Roman"/>
                <w:b/>
                <w:bCs/>
                <w:sz w:val="20"/>
                <w:szCs w:val="20"/>
              </w:rPr>
            </w:pPr>
          </w:p>
        </w:tc>
        <w:tc>
          <w:tcPr>
            <w:tcW w:w="1530" w:type="dxa"/>
            <w:vMerge/>
            <w:tcBorders>
              <w:top w:val="single" w:sz="4" w:space="0" w:color="auto"/>
              <w:left w:val="nil"/>
              <w:bottom w:val="single" w:sz="4" w:space="0" w:color="auto"/>
              <w:right w:val="single" w:sz="4" w:space="0" w:color="auto"/>
            </w:tcBorders>
            <w:vAlign w:val="center"/>
          </w:tcPr>
          <w:p w14:paraId="28BDD54C" w14:textId="77777777" w:rsidR="00DC5C2F" w:rsidRPr="00DC5C2F" w:rsidRDefault="00DC5C2F" w:rsidP="00DC5C2F">
            <w:pPr>
              <w:jc w:val="center"/>
              <w:rPr>
                <w:rFonts w:ascii="Calibri" w:eastAsia="Times New Roman" w:hAnsi="Calibri" w:cs="Times New Roman"/>
                <w:sz w:val="18"/>
                <w:szCs w:val="18"/>
              </w:rPr>
            </w:pPr>
          </w:p>
        </w:tc>
        <w:tc>
          <w:tcPr>
            <w:tcW w:w="38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AC9516" w14:textId="7E157357" w:rsidR="00DC5C2F" w:rsidRPr="00001813" w:rsidRDefault="00DC5C2F" w:rsidP="00001813">
            <w:pPr>
              <w:rPr>
                <w:rFonts w:ascii="Calibri" w:eastAsia="Times New Roman" w:hAnsi="Calibri" w:cs="Times New Roman"/>
                <w:sz w:val="22"/>
                <w:szCs w:val="22"/>
              </w:rPr>
            </w:pPr>
          </w:p>
        </w:tc>
        <w:tc>
          <w:tcPr>
            <w:tcW w:w="900" w:type="dxa"/>
            <w:tcBorders>
              <w:left w:val="single" w:sz="4" w:space="0" w:color="auto"/>
            </w:tcBorders>
            <w:vAlign w:val="center"/>
          </w:tcPr>
          <w:p w14:paraId="18E0239E" w14:textId="57D86986" w:rsidR="00DC5C2F" w:rsidRPr="00C93390" w:rsidRDefault="00E90815" w:rsidP="004A6613">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36%</w:t>
            </w:r>
          </w:p>
        </w:tc>
        <w:tc>
          <w:tcPr>
            <w:tcW w:w="2070" w:type="dxa"/>
            <w:tcBorders>
              <w:right w:val="single" w:sz="4" w:space="0" w:color="auto"/>
            </w:tcBorders>
            <w:shd w:val="clear" w:color="auto" w:fill="auto"/>
            <w:noWrap/>
            <w:vAlign w:val="center"/>
          </w:tcPr>
          <w:p w14:paraId="69C327D5" w14:textId="2AB1B7BB" w:rsidR="00DC5C2F" w:rsidRPr="00DC5C2F" w:rsidRDefault="00DC5C2F" w:rsidP="00001813">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IDP camps</w:t>
            </w:r>
          </w:p>
        </w:tc>
      </w:tr>
      <w:tr w:rsidR="00622B7A" w:rsidRPr="00001813" w14:paraId="7216A99B" w14:textId="77777777" w:rsidTr="00DF3855">
        <w:trPr>
          <w:trHeight w:hRule="exact" w:val="288"/>
          <w:jc w:val="center"/>
        </w:trPr>
        <w:tc>
          <w:tcPr>
            <w:tcW w:w="944" w:type="dxa"/>
            <w:vMerge/>
            <w:tcBorders>
              <w:left w:val="single" w:sz="4" w:space="0" w:color="auto"/>
              <w:right w:val="single" w:sz="4" w:space="0" w:color="auto"/>
            </w:tcBorders>
            <w:shd w:val="clear" w:color="auto" w:fill="auto"/>
            <w:vAlign w:val="center"/>
          </w:tcPr>
          <w:p w14:paraId="36B0A37B" w14:textId="60C89AE6" w:rsidR="00DC5C2F" w:rsidRPr="00C93390" w:rsidRDefault="00DC5C2F" w:rsidP="00622B7A">
            <w:pPr>
              <w:jc w:val="center"/>
              <w:rPr>
                <w:rFonts w:ascii="Calibri" w:eastAsia="Times New Roman" w:hAnsi="Calibri" w:cs="Times New Roman"/>
                <w:b/>
                <w:bCs/>
                <w:sz w:val="20"/>
                <w:szCs w:val="20"/>
              </w:rPr>
            </w:pPr>
          </w:p>
        </w:tc>
        <w:tc>
          <w:tcPr>
            <w:tcW w:w="1530" w:type="dxa"/>
            <w:vMerge/>
            <w:tcBorders>
              <w:top w:val="single" w:sz="4" w:space="0" w:color="auto"/>
              <w:left w:val="nil"/>
              <w:bottom w:val="single" w:sz="4" w:space="0" w:color="auto"/>
              <w:right w:val="single" w:sz="4" w:space="0" w:color="auto"/>
            </w:tcBorders>
            <w:vAlign w:val="center"/>
          </w:tcPr>
          <w:p w14:paraId="317C6FCA" w14:textId="77777777" w:rsidR="00DC5C2F" w:rsidRPr="00DC5C2F" w:rsidRDefault="00DC5C2F" w:rsidP="00DC5C2F">
            <w:pPr>
              <w:jc w:val="center"/>
              <w:rPr>
                <w:rFonts w:ascii="Calibri" w:eastAsia="Times New Roman" w:hAnsi="Calibri" w:cs="Times New Roman"/>
                <w:sz w:val="18"/>
                <w:szCs w:val="18"/>
              </w:rPr>
            </w:pPr>
          </w:p>
        </w:tc>
        <w:tc>
          <w:tcPr>
            <w:tcW w:w="38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D96483" w14:textId="1257B737" w:rsidR="00DC5C2F" w:rsidRPr="00001813" w:rsidRDefault="00DC5C2F" w:rsidP="00001813">
            <w:pPr>
              <w:rPr>
                <w:rFonts w:ascii="Calibri" w:eastAsia="Times New Roman" w:hAnsi="Calibri" w:cs="Times New Roman"/>
                <w:sz w:val="22"/>
                <w:szCs w:val="22"/>
              </w:rPr>
            </w:pPr>
          </w:p>
        </w:tc>
        <w:tc>
          <w:tcPr>
            <w:tcW w:w="900" w:type="dxa"/>
            <w:tcBorders>
              <w:left w:val="single" w:sz="4" w:space="0" w:color="auto"/>
            </w:tcBorders>
            <w:vAlign w:val="center"/>
          </w:tcPr>
          <w:p w14:paraId="67F1BE0B" w14:textId="24552798" w:rsidR="00DC5C2F" w:rsidRPr="00C93390" w:rsidRDefault="00E90815" w:rsidP="004A6613">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25%</w:t>
            </w:r>
          </w:p>
        </w:tc>
        <w:tc>
          <w:tcPr>
            <w:tcW w:w="2070" w:type="dxa"/>
            <w:tcBorders>
              <w:right w:val="single" w:sz="4" w:space="0" w:color="auto"/>
            </w:tcBorders>
            <w:shd w:val="clear" w:color="auto" w:fill="auto"/>
            <w:noWrap/>
            <w:vAlign w:val="center"/>
          </w:tcPr>
          <w:p w14:paraId="40149EA3" w14:textId="7EE2463D" w:rsidR="00DC5C2F" w:rsidRPr="00DC5C2F" w:rsidRDefault="00DC5C2F" w:rsidP="00001813">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Villages near Camps</w:t>
            </w:r>
          </w:p>
        </w:tc>
      </w:tr>
      <w:tr w:rsidR="00622B7A" w:rsidRPr="00001813" w14:paraId="4A7D1EF7" w14:textId="77777777" w:rsidTr="00DF3855">
        <w:trPr>
          <w:trHeight w:hRule="exact" w:val="288"/>
          <w:jc w:val="center"/>
        </w:trPr>
        <w:tc>
          <w:tcPr>
            <w:tcW w:w="944" w:type="dxa"/>
            <w:vMerge/>
            <w:tcBorders>
              <w:left w:val="single" w:sz="4" w:space="0" w:color="auto"/>
              <w:bottom w:val="single" w:sz="4" w:space="0" w:color="auto"/>
              <w:right w:val="single" w:sz="4" w:space="0" w:color="auto"/>
            </w:tcBorders>
            <w:shd w:val="clear" w:color="auto" w:fill="auto"/>
            <w:vAlign w:val="center"/>
            <w:hideMark/>
          </w:tcPr>
          <w:p w14:paraId="6CD55A50" w14:textId="0C9BD225" w:rsidR="00DC5C2F" w:rsidRPr="00C93390" w:rsidRDefault="00DC5C2F" w:rsidP="00622B7A">
            <w:pPr>
              <w:jc w:val="center"/>
              <w:rPr>
                <w:rFonts w:ascii="Calibri" w:eastAsia="Times New Roman" w:hAnsi="Calibri" w:cs="Times New Roman"/>
                <w:b/>
                <w:bCs/>
                <w:sz w:val="20"/>
                <w:szCs w:val="20"/>
              </w:rPr>
            </w:pPr>
          </w:p>
        </w:tc>
        <w:tc>
          <w:tcPr>
            <w:tcW w:w="1530" w:type="dxa"/>
            <w:vMerge/>
            <w:tcBorders>
              <w:top w:val="single" w:sz="4" w:space="0" w:color="auto"/>
              <w:left w:val="nil"/>
              <w:bottom w:val="single" w:sz="4" w:space="0" w:color="auto"/>
              <w:right w:val="single" w:sz="4" w:space="0" w:color="auto"/>
            </w:tcBorders>
            <w:vAlign w:val="center"/>
          </w:tcPr>
          <w:p w14:paraId="529A8B71" w14:textId="77777777" w:rsidR="00DC5C2F" w:rsidRPr="00DC5C2F" w:rsidRDefault="00DC5C2F" w:rsidP="00DC5C2F">
            <w:pPr>
              <w:jc w:val="center"/>
              <w:rPr>
                <w:rFonts w:ascii="Calibri" w:eastAsia="Times New Roman" w:hAnsi="Calibri" w:cs="Times New Roman"/>
                <w:sz w:val="18"/>
                <w:szCs w:val="18"/>
              </w:rPr>
            </w:pPr>
          </w:p>
        </w:tc>
        <w:tc>
          <w:tcPr>
            <w:tcW w:w="38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F69557" w14:textId="7AF2B892" w:rsidR="00DC5C2F" w:rsidRPr="00001813" w:rsidRDefault="00DC5C2F" w:rsidP="00001813">
            <w:pPr>
              <w:rPr>
                <w:rFonts w:ascii="Calibri" w:eastAsia="Times New Roman" w:hAnsi="Calibri" w:cs="Times New Roman"/>
                <w:sz w:val="22"/>
                <w:szCs w:val="22"/>
              </w:rPr>
            </w:pPr>
          </w:p>
        </w:tc>
        <w:tc>
          <w:tcPr>
            <w:tcW w:w="900" w:type="dxa"/>
            <w:tcBorders>
              <w:left w:val="single" w:sz="4" w:space="0" w:color="auto"/>
              <w:bottom w:val="single" w:sz="4" w:space="0" w:color="auto"/>
            </w:tcBorders>
            <w:vAlign w:val="center"/>
          </w:tcPr>
          <w:p w14:paraId="52944CFA" w14:textId="71DCA850" w:rsidR="00DC5C2F" w:rsidRPr="00C93390" w:rsidRDefault="00E90815" w:rsidP="004A6613">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31%</w:t>
            </w:r>
          </w:p>
        </w:tc>
        <w:tc>
          <w:tcPr>
            <w:tcW w:w="2070" w:type="dxa"/>
            <w:tcBorders>
              <w:bottom w:val="single" w:sz="4" w:space="0" w:color="auto"/>
              <w:right w:val="single" w:sz="4" w:space="0" w:color="auto"/>
            </w:tcBorders>
            <w:shd w:val="clear" w:color="auto" w:fill="auto"/>
            <w:noWrap/>
            <w:vAlign w:val="center"/>
            <w:hideMark/>
          </w:tcPr>
          <w:p w14:paraId="41CC0232" w14:textId="49AD9309" w:rsidR="00DC5C2F" w:rsidRPr="00DC5C2F" w:rsidRDefault="00DC5C2F" w:rsidP="00001813">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Remote villages</w:t>
            </w:r>
          </w:p>
        </w:tc>
      </w:tr>
    </w:tbl>
    <w:p w14:paraId="061E69D1" w14:textId="284EB74C" w:rsidR="00DC5C2F" w:rsidRPr="00E90815" w:rsidRDefault="00E90815" w:rsidP="00E90815">
      <w:pPr>
        <w:ind w:left="1440" w:hanging="1440"/>
        <w:rPr>
          <w:rFonts w:asciiTheme="majorHAnsi" w:hAnsiTheme="majorHAnsi"/>
        </w:rPr>
      </w:pPr>
      <w:r w:rsidRPr="00E90815">
        <w:rPr>
          <w:rFonts w:asciiTheme="majorHAnsi" w:hAnsiTheme="majorHAnsi"/>
        </w:rPr>
        <w:t xml:space="preserve">Note:  </w:t>
      </w:r>
      <w:r>
        <w:rPr>
          <w:rFonts w:asciiTheme="majorHAnsi" w:hAnsiTheme="majorHAnsi"/>
        </w:rPr>
        <w:tab/>
      </w:r>
      <w:r w:rsidRPr="00E90815">
        <w:rPr>
          <w:rFonts w:asciiTheme="majorHAnsi" w:hAnsiTheme="majorHAnsi"/>
        </w:rPr>
        <w:t xml:space="preserve">For output indicator 4.3, safe management in the home was determined by </w:t>
      </w:r>
      <w:r w:rsidR="00FC7675">
        <w:rPr>
          <w:rFonts w:asciiTheme="majorHAnsi" w:hAnsiTheme="majorHAnsi"/>
        </w:rPr>
        <w:t xml:space="preserve">observations during </w:t>
      </w:r>
      <w:r w:rsidRPr="00E90815">
        <w:rPr>
          <w:rFonts w:asciiTheme="majorHAnsi" w:hAnsiTheme="majorHAnsi"/>
        </w:rPr>
        <w:t>the household sanitary survey. Respondent households were required to comply with the following criteria:</w:t>
      </w:r>
    </w:p>
    <w:p w14:paraId="0D2176D4" w14:textId="77777777" w:rsidR="00E90815" w:rsidRPr="00FC7675" w:rsidRDefault="00E90815" w:rsidP="003A03C1">
      <w:pPr>
        <w:rPr>
          <w:sz w:val="8"/>
          <w:szCs w:val="8"/>
        </w:rPr>
      </w:pPr>
    </w:p>
    <w:p w14:paraId="6418F818" w14:textId="65107E19" w:rsidR="00E90815" w:rsidRPr="00E90815" w:rsidRDefault="00E90815" w:rsidP="00E90815">
      <w:pPr>
        <w:pStyle w:val="ListParagraph"/>
        <w:numPr>
          <w:ilvl w:val="0"/>
          <w:numId w:val="11"/>
        </w:numPr>
        <w:rPr>
          <w:rFonts w:asciiTheme="majorHAnsi" w:hAnsiTheme="majorHAnsi"/>
          <w:sz w:val="24"/>
          <w:szCs w:val="24"/>
        </w:rPr>
      </w:pPr>
      <w:r w:rsidRPr="00E90815">
        <w:rPr>
          <w:rFonts w:asciiTheme="majorHAnsi" w:hAnsiTheme="majorHAnsi"/>
          <w:sz w:val="24"/>
          <w:szCs w:val="24"/>
        </w:rPr>
        <w:t xml:space="preserve">Use of a separate drinking water container </w:t>
      </w:r>
    </w:p>
    <w:p w14:paraId="3E051C03" w14:textId="7197C032" w:rsidR="00E90815" w:rsidRPr="00E90815" w:rsidRDefault="00E90815" w:rsidP="00E90815">
      <w:pPr>
        <w:pStyle w:val="ListParagraph"/>
        <w:numPr>
          <w:ilvl w:val="0"/>
          <w:numId w:val="11"/>
        </w:numPr>
        <w:rPr>
          <w:rFonts w:asciiTheme="majorHAnsi" w:hAnsiTheme="majorHAnsi"/>
          <w:sz w:val="24"/>
          <w:szCs w:val="24"/>
        </w:rPr>
      </w:pPr>
      <w:r w:rsidRPr="00E90815">
        <w:rPr>
          <w:rFonts w:asciiTheme="majorHAnsi" w:hAnsiTheme="majorHAnsi"/>
          <w:sz w:val="24"/>
          <w:szCs w:val="24"/>
        </w:rPr>
        <w:t>Drinking water container is covered</w:t>
      </w:r>
    </w:p>
    <w:p w14:paraId="44C26B36" w14:textId="65B5263D" w:rsidR="00E90815" w:rsidRPr="00E90815" w:rsidRDefault="00E90815" w:rsidP="00E90815">
      <w:pPr>
        <w:pStyle w:val="ListParagraph"/>
        <w:numPr>
          <w:ilvl w:val="0"/>
          <w:numId w:val="11"/>
        </w:numPr>
        <w:rPr>
          <w:rFonts w:asciiTheme="majorHAnsi" w:eastAsiaTheme="minorEastAsia" w:hAnsiTheme="majorHAnsi"/>
          <w:sz w:val="24"/>
          <w:szCs w:val="24"/>
          <w:lang w:val="en-GB"/>
        </w:rPr>
      </w:pPr>
      <w:r w:rsidRPr="00E90815">
        <w:rPr>
          <w:rFonts w:asciiTheme="majorHAnsi" w:eastAsiaTheme="minorEastAsia" w:hAnsiTheme="majorHAnsi"/>
          <w:sz w:val="24"/>
          <w:szCs w:val="24"/>
          <w:lang w:val="en-GB"/>
        </w:rPr>
        <w:t>Drinking water can be extracted safely with risk of contamination</w:t>
      </w:r>
    </w:p>
    <w:p w14:paraId="4BF9A76F" w14:textId="77777777" w:rsidR="00E90815" w:rsidRDefault="00E90815" w:rsidP="003A03C1"/>
    <w:p w14:paraId="43991DCC" w14:textId="77777777" w:rsidR="00E90815" w:rsidRPr="003A03C1" w:rsidRDefault="00E90815" w:rsidP="003A03C1"/>
    <w:p w14:paraId="21B94C97" w14:textId="266265C3" w:rsidR="00DC5C2F" w:rsidRDefault="00622B7A" w:rsidP="00DC5C2F">
      <w:pPr>
        <w:rPr>
          <w:rFonts w:asciiTheme="majorHAnsi" w:hAnsiTheme="majorHAnsi"/>
          <w:b/>
          <w:color w:val="548DD4" w:themeColor="text2" w:themeTint="99"/>
        </w:rPr>
      </w:pPr>
      <w:r w:rsidRPr="00622B7A">
        <w:rPr>
          <w:rFonts w:asciiTheme="majorHAnsi" w:hAnsiTheme="majorHAnsi"/>
          <w:b/>
          <w:color w:val="548DD4" w:themeColor="text2" w:themeTint="99"/>
        </w:rPr>
        <w:t>WASH Cluster KAP Indicators</w:t>
      </w:r>
    </w:p>
    <w:p w14:paraId="64F01C34" w14:textId="77777777" w:rsidR="00271D97" w:rsidRDefault="00271D97" w:rsidP="00DC5C2F">
      <w:pPr>
        <w:rPr>
          <w:rFonts w:asciiTheme="majorHAnsi" w:hAnsiTheme="majorHAnsi"/>
          <w:b/>
          <w:color w:val="548DD4" w:themeColor="text2" w:themeTint="99"/>
        </w:rPr>
      </w:pPr>
    </w:p>
    <w:p w14:paraId="6A76E94E" w14:textId="457929D6" w:rsidR="00271D97" w:rsidRDefault="00271D97" w:rsidP="00271D97">
      <w:pPr>
        <w:jc w:val="both"/>
        <w:rPr>
          <w:rFonts w:asciiTheme="majorHAnsi" w:hAnsiTheme="majorHAnsi"/>
        </w:rPr>
      </w:pPr>
      <w:r w:rsidRPr="00271D97">
        <w:rPr>
          <w:rFonts w:asciiTheme="majorHAnsi" w:hAnsiTheme="majorHAnsi"/>
        </w:rPr>
        <w:t xml:space="preserve">In early 2015, the WASH Cluster in Rakhine State established key KAP indicators. The </w:t>
      </w:r>
      <w:r>
        <w:rPr>
          <w:rFonts w:asciiTheme="majorHAnsi" w:hAnsiTheme="majorHAnsi"/>
        </w:rPr>
        <w:t>table below presents the findings from this KAP survey relating to these indicators.</w:t>
      </w:r>
    </w:p>
    <w:p w14:paraId="51F52AD6" w14:textId="77777777" w:rsidR="00271D97" w:rsidRPr="00271D97" w:rsidRDefault="00271D97" w:rsidP="00271D97">
      <w:pPr>
        <w:jc w:val="both"/>
        <w:rPr>
          <w:rFonts w:asciiTheme="majorHAnsi" w:hAnsiTheme="majorHAnsi"/>
        </w:rPr>
      </w:pPr>
    </w:p>
    <w:p w14:paraId="5CBC1139" w14:textId="77777777" w:rsidR="00DC5C2F" w:rsidRDefault="00DC5C2F" w:rsidP="00DC5C2F"/>
    <w:tbl>
      <w:tblPr>
        <w:tblW w:w="9565" w:type="dxa"/>
        <w:jc w:val="center"/>
        <w:tblInd w:w="-1221" w:type="dxa"/>
        <w:tblLayout w:type="fixed"/>
        <w:tblCellMar>
          <w:left w:w="29" w:type="dxa"/>
          <w:right w:w="29" w:type="dxa"/>
        </w:tblCellMar>
        <w:tblLook w:val="04A0" w:firstRow="1" w:lastRow="0" w:firstColumn="1" w:lastColumn="0" w:noHBand="0" w:noVBand="1"/>
      </w:tblPr>
      <w:tblGrid>
        <w:gridCol w:w="1623"/>
        <w:gridCol w:w="4972"/>
        <w:gridCol w:w="900"/>
        <w:gridCol w:w="2070"/>
      </w:tblGrid>
      <w:tr w:rsidR="00DF3855" w:rsidRPr="00DF3855" w14:paraId="2FD79926" w14:textId="77777777" w:rsidTr="00DF3855">
        <w:trPr>
          <w:trHeight w:hRule="exact" w:val="721"/>
          <w:jc w:val="center"/>
        </w:trPr>
        <w:tc>
          <w:tcPr>
            <w:tcW w:w="1623" w:type="dxa"/>
            <w:tcBorders>
              <w:top w:val="single" w:sz="4" w:space="0" w:color="auto"/>
              <w:left w:val="single" w:sz="4" w:space="0" w:color="auto"/>
              <w:bottom w:val="single" w:sz="4" w:space="0" w:color="auto"/>
              <w:right w:val="single" w:sz="4" w:space="0" w:color="auto"/>
            </w:tcBorders>
            <w:shd w:val="clear" w:color="auto" w:fill="CCCCCC"/>
            <w:vAlign w:val="center"/>
          </w:tcPr>
          <w:p w14:paraId="4E5D9608" w14:textId="22B83014" w:rsidR="00DF3855" w:rsidRPr="00DF3855" w:rsidRDefault="00DF3855" w:rsidP="00DF3855">
            <w:pPr>
              <w:jc w:val="center"/>
              <w:rPr>
                <w:rFonts w:ascii="Calibri" w:eastAsia="Times New Roman" w:hAnsi="Calibri" w:cs="Times New Roman"/>
                <w:b/>
                <w:color w:val="000000"/>
              </w:rPr>
            </w:pPr>
            <w:r>
              <w:rPr>
                <w:rFonts w:ascii="Calibri" w:eastAsia="Times New Roman" w:hAnsi="Calibri" w:cs="Times New Roman"/>
                <w:b/>
                <w:color w:val="000000"/>
              </w:rPr>
              <w:t>Source of V</w:t>
            </w:r>
            <w:r w:rsidRPr="00DF3855">
              <w:rPr>
                <w:rFonts w:ascii="Calibri" w:eastAsia="Times New Roman" w:hAnsi="Calibri" w:cs="Times New Roman"/>
                <w:b/>
                <w:color w:val="000000"/>
              </w:rPr>
              <w:t>erification</w:t>
            </w:r>
          </w:p>
        </w:tc>
        <w:tc>
          <w:tcPr>
            <w:tcW w:w="4972" w:type="dxa"/>
            <w:tcBorders>
              <w:top w:val="single" w:sz="4" w:space="0" w:color="auto"/>
              <w:left w:val="single" w:sz="4" w:space="0" w:color="auto"/>
              <w:bottom w:val="single" w:sz="4" w:space="0" w:color="auto"/>
              <w:right w:val="single" w:sz="4" w:space="0" w:color="auto"/>
            </w:tcBorders>
            <w:shd w:val="clear" w:color="auto" w:fill="CCCCCC"/>
            <w:vAlign w:val="center"/>
          </w:tcPr>
          <w:p w14:paraId="77519096" w14:textId="35C0EA08" w:rsidR="00DF3855" w:rsidRPr="00DF3855" w:rsidRDefault="00271D97" w:rsidP="00DF3855">
            <w:pPr>
              <w:jc w:val="center"/>
              <w:rPr>
                <w:rFonts w:ascii="Helvetica" w:hAnsi="Helvetica" w:cs="Arial"/>
                <w:b/>
                <w:i/>
                <w:iCs/>
                <w:color w:val="222222"/>
              </w:rPr>
            </w:pPr>
            <w:r>
              <w:rPr>
                <w:rFonts w:ascii="Helvetica" w:hAnsi="Helvetica" w:cs="Arial"/>
                <w:b/>
                <w:i/>
                <w:iCs/>
                <w:color w:val="222222"/>
              </w:rPr>
              <w:t xml:space="preserve">WASH Cluster </w:t>
            </w:r>
            <w:r w:rsidR="00DF3855" w:rsidRPr="00DF3855">
              <w:rPr>
                <w:rFonts w:ascii="Helvetica" w:hAnsi="Helvetica" w:cs="Arial"/>
                <w:b/>
                <w:i/>
                <w:iCs/>
                <w:color w:val="222222"/>
              </w:rPr>
              <w:t>KAP Indicator</w:t>
            </w:r>
          </w:p>
        </w:tc>
        <w:tc>
          <w:tcPr>
            <w:tcW w:w="2970" w:type="dxa"/>
            <w:gridSpan w:val="2"/>
            <w:tcBorders>
              <w:top w:val="single" w:sz="4" w:space="0" w:color="auto"/>
              <w:left w:val="nil"/>
              <w:bottom w:val="single" w:sz="4" w:space="0" w:color="auto"/>
              <w:right w:val="single" w:sz="4" w:space="0" w:color="auto"/>
            </w:tcBorders>
            <w:shd w:val="clear" w:color="auto" w:fill="CCCCCC"/>
            <w:vAlign w:val="center"/>
          </w:tcPr>
          <w:p w14:paraId="113EC350" w14:textId="220826C8" w:rsidR="00DF3855" w:rsidRPr="00DF3855" w:rsidRDefault="00DF3855" w:rsidP="00DF3855">
            <w:pPr>
              <w:jc w:val="center"/>
              <w:rPr>
                <w:rFonts w:ascii="Calibri" w:eastAsia="Times New Roman" w:hAnsi="Calibri" w:cs="Times New Roman"/>
                <w:b/>
                <w:color w:val="000000"/>
              </w:rPr>
            </w:pPr>
            <w:r>
              <w:rPr>
                <w:rFonts w:ascii="Calibri" w:eastAsia="Times New Roman" w:hAnsi="Calibri" w:cs="Times New Roman"/>
                <w:b/>
                <w:color w:val="000000"/>
              </w:rPr>
              <w:t>May 2015</w:t>
            </w:r>
          </w:p>
        </w:tc>
      </w:tr>
      <w:tr w:rsidR="00C93390" w:rsidRPr="00001813" w14:paraId="2B6E4B2E" w14:textId="77777777" w:rsidTr="00DF3855">
        <w:trPr>
          <w:trHeight w:hRule="exact" w:val="288"/>
          <w:jc w:val="center"/>
        </w:trPr>
        <w:tc>
          <w:tcPr>
            <w:tcW w:w="1623" w:type="dxa"/>
            <w:vMerge w:val="restart"/>
            <w:tcBorders>
              <w:top w:val="single" w:sz="4" w:space="0" w:color="auto"/>
              <w:left w:val="single" w:sz="4" w:space="0" w:color="auto"/>
              <w:bottom w:val="single" w:sz="4" w:space="0" w:color="auto"/>
              <w:right w:val="single" w:sz="4" w:space="0" w:color="auto"/>
            </w:tcBorders>
            <w:vAlign w:val="center"/>
          </w:tcPr>
          <w:p w14:paraId="44808B20" w14:textId="1EAD5013" w:rsidR="00C93390" w:rsidRPr="00DC5C2F" w:rsidRDefault="00C93390" w:rsidP="00C93390">
            <w:pPr>
              <w:jc w:val="center"/>
              <w:rPr>
                <w:rFonts w:ascii="Calibri" w:eastAsia="Times New Roman" w:hAnsi="Calibri" w:cs="Times New Roman"/>
                <w:sz w:val="18"/>
                <w:szCs w:val="18"/>
              </w:rPr>
            </w:pPr>
            <w:r w:rsidRPr="00DC5C2F">
              <w:rPr>
                <w:rFonts w:ascii="Calibri" w:eastAsia="Times New Roman" w:hAnsi="Calibri" w:cs="Times New Roman"/>
                <w:color w:val="000000"/>
                <w:sz w:val="18"/>
                <w:szCs w:val="18"/>
              </w:rPr>
              <w:t>KAP Questionnaire</w:t>
            </w:r>
            <w:r w:rsidRPr="00DC5C2F">
              <w:rPr>
                <w:rFonts w:ascii="Calibri" w:eastAsia="Times New Roman" w:hAnsi="Calibri" w:cs="Times New Roman"/>
                <w:sz w:val="18"/>
                <w:szCs w:val="18"/>
              </w:rPr>
              <w:t xml:space="preserve"> </w:t>
            </w:r>
          </w:p>
        </w:tc>
        <w:tc>
          <w:tcPr>
            <w:tcW w:w="4972"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44DEF98A" w14:textId="77777777" w:rsidR="00271D97" w:rsidRDefault="00C93390" w:rsidP="00C93390">
            <w:pPr>
              <w:rPr>
                <w:rFonts w:ascii="Helvetica" w:hAnsi="Helvetica" w:cs="Arial"/>
                <w:i/>
                <w:iCs/>
                <w:color w:val="222222"/>
                <w:sz w:val="19"/>
                <w:szCs w:val="19"/>
              </w:rPr>
            </w:pPr>
            <w:r w:rsidRPr="005E3B2D">
              <w:rPr>
                <w:rFonts w:ascii="Helvetica" w:hAnsi="Helvetica" w:cs="Arial"/>
                <w:i/>
                <w:iCs/>
                <w:color w:val="222222"/>
                <w:sz w:val="19"/>
                <w:szCs w:val="19"/>
              </w:rPr>
              <w:t xml:space="preserve">% </w:t>
            </w:r>
            <w:proofErr w:type="gramStart"/>
            <w:r w:rsidRPr="005E3B2D">
              <w:rPr>
                <w:rFonts w:ascii="Helvetica" w:hAnsi="Helvetica" w:cs="Arial"/>
                <w:i/>
                <w:iCs/>
                <w:color w:val="222222"/>
                <w:sz w:val="19"/>
                <w:szCs w:val="19"/>
              </w:rPr>
              <w:t>men</w:t>
            </w:r>
            <w:proofErr w:type="gramEnd"/>
            <w:r w:rsidRPr="005E3B2D">
              <w:rPr>
                <w:rFonts w:ascii="Helvetica" w:hAnsi="Helvetica" w:cs="Arial"/>
                <w:i/>
                <w:iCs/>
                <w:color w:val="222222"/>
                <w:sz w:val="19"/>
                <w:szCs w:val="19"/>
              </w:rPr>
              <w:t xml:space="preserve">, women and children (&gt;7yrs) have basic knowledge of diarrheal disease transmission </w:t>
            </w:r>
          </w:p>
          <w:p w14:paraId="12661914" w14:textId="39180BA9" w:rsidR="00C93390" w:rsidRPr="004A6613" w:rsidRDefault="00C93390" w:rsidP="00C93390">
            <w:pPr>
              <w:rPr>
                <w:rFonts w:ascii="Calibri" w:eastAsia="Times New Roman" w:hAnsi="Calibri" w:cs="Times New Roman"/>
                <w:sz w:val="22"/>
                <w:szCs w:val="22"/>
              </w:rPr>
            </w:pPr>
            <w:r w:rsidRPr="005E3B2D">
              <w:rPr>
                <w:rFonts w:ascii="Helvetica" w:hAnsi="Helvetica" w:cs="Arial"/>
                <w:i/>
                <w:iCs/>
                <w:color w:val="222222"/>
                <w:sz w:val="19"/>
                <w:szCs w:val="19"/>
              </w:rPr>
              <w:t xml:space="preserve">– </w:t>
            </w:r>
            <w:proofErr w:type="gramStart"/>
            <w:r w:rsidRPr="005E3B2D">
              <w:rPr>
                <w:rFonts w:ascii="Helvetica" w:hAnsi="Helvetica" w:cs="Arial"/>
                <w:i/>
                <w:iCs/>
                <w:color w:val="222222"/>
                <w:sz w:val="19"/>
                <w:szCs w:val="19"/>
              </w:rPr>
              <w:t>at</w:t>
            </w:r>
            <w:proofErr w:type="gramEnd"/>
            <w:r w:rsidRPr="005E3B2D">
              <w:rPr>
                <w:rFonts w:ascii="Helvetica" w:hAnsi="Helvetica" w:cs="Arial"/>
                <w:i/>
                <w:iCs/>
                <w:color w:val="222222"/>
                <w:sz w:val="19"/>
                <w:szCs w:val="19"/>
              </w:rPr>
              <w:t xml:space="preserve"> least two transmission routes (F-diagram)</w:t>
            </w:r>
          </w:p>
        </w:tc>
        <w:tc>
          <w:tcPr>
            <w:tcW w:w="900" w:type="dxa"/>
            <w:tcBorders>
              <w:top w:val="single" w:sz="4" w:space="0" w:color="auto"/>
              <w:left w:val="nil"/>
            </w:tcBorders>
            <w:vAlign w:val="center"/>
          </w:tcPr>
          <w:p w14:paraId="71DCCE8F" w14:textId="5A8B828A" w:rsidR="00C93390" w:rsidRPr="008B503D" w:rsidRDefault="000A7EDE" w:rsidP="00DF3855">
            <w:pPr>
              <w:jc w:val="center"/>
              <w:rPr>
                <w:rFonts w:ascii="Calibri" w:eastAsia="Times New Roman" w:hAnsi="Calibri" w:cs="Times New Roman"/>
                <w:b/>
                <w:color w:val="000000"/>
                <w:sz w:val="22"/>
                <w:szCs w:val="22"/>
              </w:rPr>
            </w:pPr>
            <w:r>
              <w:rPr>
                <w:rFonts w:ascii="Calibri" w:eastAsia="Times New Roman" w:hAnsi="Calibri" w:cs="Times New Roman"/>
                <w:b/>
                <w:color w:val="000000"/>
                <w:sz w:val="22"/>
                <w:szCs w:val="22"/>
              </w:rPr>
              <w:t>38%</w:t>
            </w:r>
          </w:p>
        </w:tc>
        <w:tc>
          <w:tcPr>
            <w:tcW w:w="2070" w:type="dxa"/>
            <w:tcBorders>
              <w:top w:val="single" w:sz="4" w:space="0" w:color="auto"/>
              <w:right w:val="single" w:sz="4" w:space="0" w:color="auto"/>
            </w:tcBorders>
            <w:shd w:val="clear" w:color="auto" w:fill="auto"/>
            <w:noWrap/>
            <w:vAlign w:val="center"/>
            <w:hideMark/>
          </w:tcPr>
          <w:p w14:paraId="3EED29ED" w14:textId="77777777" w:rsidR="00C93390" w:rsidRPr="00DC5C2F" w:rsidRDefault="00C93390"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Camps &amp; Villages</w:t>
            </w:r>
          </w:p>
        </w:tc>
      </w:tr>
      <w:tr w:rsidR="00C93390" w:rsidRPr="00001813" w14:paraId="699522AC" w14:textId="77777777" w:rsidTr="00DF3855">
        <w:trPr>
          <w:trHeight w:hRule="exact" w:val="288"/>
          <w:jc w:val="center"/>
        </w:trPr>
        <w:tc>
          <w:tcPr>
            <w:tcW w:w="1623" w:type="dxa"/>
            <w:vMerge/>
            <w:tcBorders>
              <w:top w:val="single" w:sz="4" w:space="0" w:color="auto"/>
              <w:left w:val="single" w:sz="4" w:space="0" w:color="auto"/>
              <w:bottom w:val="single" w:sz="4" w:space="0" w:color="auto"/>
              <w:right w:val="single" w:sz="4" w:space="0" w:color="auto"/>
            </w:tcBorders>
            <w:vAlign w:val="center"/>
          </w:tcPr>
          <w:p w14:paraId="5A23CB48" w14:textId="77777777" w:rsidR="00C93390" w:rsidRPr="00DC5C2F" w:rsidRDefault="00C93390" w:rsidP="00C93390">
            <w:pPr>
              <w:jc w:val="center"/>
              <w:rPr>
                <w:rFonts w:ascii="Calibri" w:eastAsia="Times New Roman" w:hAnsi="Calibri" w:cs="Times New Roman"/>
                <w:sz w:val="18"/>
                <w:szCs w:val="18"/>
              </w:rPr>
            </w:pPr>
          </w:p>
        </w:tc>
        <w:tc>
          <w:tcPr>
            <w:tcW w:w="49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A3A8098" w14:textId="77777777" w:rsidR="00C93390" w:rsidRPr="00001813" w:rsidRDefault="00C93390" w:rsidP="00C93390">
            <w:pPr>
              <w:rPr>
                <w:rFonts w:ascii="Calibri" w:eastAsia="Times New Roman" w:hAnsi="Calibri" w:cs="Times New Roman"/>
              </w:rPr>
            </w:pPr>
          </w:p>
        </w:tc>
        <w:tc>
          <w:tcPr>
            <w:tcW w:w="900" w:type="dxa"/>
            <w:tcBorders>
              <w:left w:val="single" w:sz="4" w:space="0" w:color="auto"/>
            </w:tcBorders>
            <w:vAlign w:val="center"/>
          </w:tcPr>
          <w:p w14:paraId="21640F3A" w14:textId="351BD7DA" w:rsidR="00C93390" w:rsidRPr="00622B7A" w:rsidRDefault="000A7EDE" w:rsidP="00DF3855">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38%</w:t>
            </w:r>
          </w:p>
        </w:tc>
        <w:tc>
          <w:tcPr>
            <w:tcW w:w="2070" w:type="dxa"/>
            <w:tcBorders>
              <w:right w:val="single" w:sz="4" w:space="0" w:color="auto"/>
            </w:tcBorders>
            <w:shd w:val="clear" w:color="auto" w:fill="auto"/>
            <w:noWrap/>
            <w:vAlign w:val="center"/>
          </w:tcPr>
          <w:p w14:paraId="16A8ECE7" w14:textId="77777777" w:rsidR="00C93390" w:rsidRPr="00DC5C2F" w:rsidRDefault="00C93390"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IDP camps</w:t>
            </w:r>
          </w:p>
        </w:tc>
      </w:tr>
      <w:tr w:rsidR="00C93390" w:rsidRPr="00001813" w14:paraId="12C19321" w14:textId="77777777" w:rsidTr="00DF3855">
        <w:trPr>
          <w:trHeight w:hRule="exact" w:val="288"/>
          <w:jc w:val="center"/>
        </w:trPr>
        <w:tc>
          <w:tcPr>
            <w:tcW w:w="1623" w:type="dxa"/>
            <w:vMerge/>
            <w:tcBorders>
              <w:top w:val="single" w:sz="4" w:space="0" w:color="auto"/>
              <w:left w:val="single" w:sz="4" w:space="0" w:color="auto"/>
              <w:bottom w:val="single" w:sz="4" w:space="0" w:color="auto"/>
              <w:right w:val="single" w:sz="4" w:space="0" w:color="auto"/>
            </w:tcBorders>
            <w:vAlign w:val="center"/>
          </w:tcPr>
          <w:p w14:paraId="14381B20" w14:textId="77777777" w:rsidR="00C93390" w:rsidRPr="00DC5C2F" w:rsidRDefault="00C93390" w:rsidP="00C93390">
            <w:pPr>
              <w:jc w:val="center"/>
              <w:rPr>
                <w:rFonts w:ascii="Calibri" w:eastAsia="Times New Roman" w:hAnsi="Calibri" w:cs="Times New Roman"/>
                <w:sz w:val="18"/>
                <w:szCs w:val="18"/>
              </w:rPr>
            </w:pPr>
          </w:p>
        </w:tc>
        <w:tc>
          <w:tcPr>
            <w:tcW w:w="49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7756029" w14:textId="77777777" w:rsidR="00C93390" w:rsidRPr="00001813" w:rsidRDefault="00C93390" w:rsidP="00C93390">
            <w:pPr>
              <w:rPr>
                <w:rFonts w:ascii="Calibri" w:eastAsia="Times New Roman" w:hAnsi="Calibri" w:cs="Times New Roman"/>
              </w:rPr>
            </w:pPr>
          </w:p>
        </w:tc>
        <w:tc>
          <w:tcPr>
            <w:tcW w:w="900" w:type="dxa"/>
            <w:tcBorders>
              <w:left w:val="single" w:sz="4" w:space="0" w:color="auto"/>
            </w:tcBorders>
            <w:vAlign w:val="center"/>
          </w:tcPr>
          <w:p w14:paraId="7CF6CDF2" w14:textId="0834995F" w:rsidR="00C93390" w:rsidRPr="00622B7A" w:rsidRDefault="000A7EDE" w:rsidP="00DF3855">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40%</w:t>
            </w:r>
          </w:p>
        </w:tc>
        <w:tc>
          <w:tcPr>
            <w:tcW w:w="2070" w:type="dxa"/>
            <w:tcBorders>
              <w:right w:val="single" w:sz="4" w:space="0" w:color="auto"/>
            </w:tcBorders>
            <w:shd w:val="clear" w:color="auto" w:fill="auto"/>
            <w:noWrap/>
            <w:vAlign w:val="center"/>
          </w:tcPr>
          <w:p w14:paraId="2347C0F1" w14:textId="77777777" w:rsidR="00C93390" w:rsidRPr="00DC5C2F" w:rsidRDefault="00C93390"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Villages near Camps</w:t>
            </w:r>
          </w:p>
        </w:tc>
      </w:tr>
      <w:tr w:rsidR="00C93390" w:rsidRPr="00001813" w14:paraId="2977E641" w14:textId="77777777" w:rsidTr="00DF3855">
        <w:trPr>
          <w:trHeight w:hRule="exact" w:val="288"/>
          <w:jc w:val="center"/>
        </w:trPr>
        <w:tc>
          <w:tcPr>
            <w:tcW w:w="1623" w:type="dxa"/>
            <w:vMerge/>
            <w:tcBorders>
              <w:top w:val="single" w:sz="4" w:space="0" w:color="auto"/>
              <w:left w:val="single" w:sz="4" w:space="0" w:color="auto"/>
              <w:bottom w:val="single" w:sz="4" w:space="0" w:color="auto"/>
              <w:right w:val="single" w:sz="4" w:space="0" w:color="auto"/>
            </w:tcBorders>
            <w:vAlign w:val="center"/>
          </w:tcPr>
          <w:p w14:paraId="5ECE2B4F" w14:textId="77777777" w:rsidR="00C93390" w:rsidRPr="00DC5C2F" w:rsidRDefault="00C93390" w:rsidP="00C93390">
            <w:pPr>
              <w:jc w:val="center"/>
              <w:rPr>
                <w:rFonts w:ascii="Calibri" w:eastAsia="Times New Roman" w:hAnsi="Calibri" w:cs="Times New Roman"/>
                <w:sz w:val="18"/>
                <w:szCs w:val="18"/>
              </w:rPr>
            </w:pPr>
          </w:p>
        </w:tc>
        <w:tc>
          <w:tcPr>
            <w:tcW w:w="49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6604E6B" w14:textId="77777777" w:rsidR="00C93390" w:rsidRPr="00001813" w:rsidRDefault="00C93390" w:rsidP="00C93390">
            <w:pPr>
              <w:rPr>
                <w:rFonts w:ascii="Calibri" w:eastAsia="Times New Roman" w:hAnsi="Calibri" w:cs="Times New Roman"/>
              </w:rPr>
            </w:pPr>
          </w:p>
        </w:tc>
        <w:tc>
          <w:tcPr>
            <w:tcW w:w="900" w:type="dxa"/>
            <w:tcBorders>
              <w:left w:val="single" w:sz="4" w:space="0" w:color="auto"/>
              <w:bottom w:val="single" w:sz="4" w:space="0" w:color="auto"/>
            </w:tcBorders>
            <w:vAlign w:val="center"/>
          </w:tcPr>
          <w:p w14:paraId="57AD14BE" w14:textId="64EC7673" w:rsidR="00C93390" w:rsidRPr="00622B7A" w:rsidRDefault="000A7EDE" w:rsidP="00DF3855">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35%</w:t>
            </w:r>
          </w:p>
        </w:tc>
        <w:tc>
          <w:tcPr>
            <w:tcW w:w="2070" w:type="dxa"/>
            <w:tcBorders>
              <w:bottom w:val="single" w:sz="4" w:space="0" w:color="auto"/>
              <w:right w:val="single" w:sz="4" w:space="0" w:color="auto"/>
            </w:tcBorders>
            <w:shd w:val="clear" w:color="auto" w:fill="auto"/>
            <w:noWrap/>
            <w:vAlign w:val="center"/>
          </w:tcPr>
          <w:p w14:paraId="2601ADDE" w14:textId="77777777" w:rsidR="00C93390" w:rsidRPr="00DC5C2F" w:rsidRDefault="00C93390"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Remote villages</w:t>
            </w:r>
          </w:p>
        </w:tc>
      </w:tr>
      <w:tr w:rsidR="00C93390" w:rsidRPr="00001813" w14:paraId="694C89D7" w14:textId="77777777" w:rsidTr="00DF3855">
        <w:trPr>
          <w:trHeight w:hRule="exact" w:val="288"/>
          <w:jc w:val="center"/>
        </w:trPr>
        <w:tc>
          <w:tcPr>
            <w:tcW w:w="1623" w:type="dxa"/>
            <w:vMerge w:val="restart"/>
            <w:tcBorders>
              <w:top w:val="single" w:sz="4" w:space="0" w:color="auto"/>
              <w:left w:val="single" w:sz="4" w:space="0" w:color="auto"/>
              <w:bottom w:val="single" w:sz="4" w:space="0" w:color="auto"/>
              <w:right w:val="single" w:sz="4" w:space="0" w:color="auto"/>
            </w:tcBorders>
            <w:vAlign w:val="center"/>
          </w:tcPr>
          <w:p w14:paraId="0186B999" w14:textId="0580A35B" w:rsidR="00C93390" w:rsidRPr="00DC5C2F" w:rsidRDefault="00C93390" w:rsidP="00C93390">
            <w:pPr>
              <w:jc w:val="center"/>
              <w:rPr>
                <w:rFonts w:ascii="Calibri" w:eastAsia="Times New Roman" w:hAnsi="Calibri" w:cs="Times New Roman"/>
                <w:sz w:val="18"/>
                <w:szCs w:val="18"/>
              </w:rPr>
            </w:pPr>
            <w:r w:rsidRPr="00DC5C2F">
              <w:rPr>
                <w:rFonts w:ascii="Calibri" w:eastAsia="Times New Roman" w:hAnsi="Calibri" w:cs="Times New Roman"/>
                <w:color w:val="000000"/>
                <w:sz w:val="18"/>
                <w:szCs w:val="18"/>
              </w:rPr>
              <w:t>KAP Questionnaire</w:t>
            </w:r>
          </w:p>
        </w:tc>
        <w:tc>
          <w:tcPr>
            <w:tcW w:w="4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8AC2BA" w14:textId="28893C90" w:rsidR="00C93390" w:rsidRPr="00001813" w:rsidRDefault="00C93390" w:rsidP="00C93390">
            <w:pPr>
              <w:rPr>
                <w:rFonts w:ascii="Calibri" w:eastAsia="Times New Roman" w:hAnsi="Calibri" w:cs="Times New Roman"/>
                <w:sz w:val="22"/>
                <w:szCs w:val="22"/>
              </w:rPr>
            </w:pPr>
            <w:r w:rsidRPr="005E3B2D">
              <w:rPr>
                <w:rFonts w:ascii="Helvetica" w:hAnsi="Helvetica" w:cs="Arial"/>
                <w:i/>
                <w:iCs/>
                <w:color w:val="222222"/>
                <w:sz w:val="19"/>
                <w:szCs w:val="19"/>
              </w:rPr>
              <w:t xml:space="preserve">% </w:t>
            </w:r>
            <w:proofErr w:type="gramStart"/>
            <w:r w:rsidRPr="005E3B2D">
              <w:rPr>
                <w:rFonts w:ascii="Helvetica" w:hAnsi="Helvetica" w:cs="Arial"/>
                <w:i/>
                <w:iCs/>
                <w:color w:val="222222"/>
                <w:sz w:val="19"/>
                <w:szCs w:val="19"/>
              </w:rPr>
              <w:t>men</w:t>
            </w:r>
            <w:proofErr w:type="gramEnd"/>
            <w:r w:rsidRPr="005E3B2D">
              <w:rPr>
                <w:rFonts w:ascii="Helvetica" w:hAnsi="Helvetica" w:cs="Arial"/>
                <w:i/>
                <w:iCs/>
                <w:color w:val="222222"/>
                <w:sz w:val="19"/>
                <w:szCs w:val="19"/>
              </w:rPr>
              <w:t>, women and children (&gt;5yrs) know and practice hand-washing at key moments – at least two moments (after handling faeces, before handling food)</w:t>
            </w:r>
          </w:p>
        </w:tc>
        <w:tc>
          <w:tcPr>
            <w:tcW w:w="900" w:type="dxa"/>
            <w:tcBorders>
              <w:top w:val="single" w:sz="4" w:space="0" w:color="auto"/>
              <w:left w:val="nil"/>
            </w:tcBorders>
            <w:vAlign w:val="center"/>
          </w:tcPr>
          <w:p w14:paraId="6E5D307C" w14:textId="794744D1" w:rsidR="00C93390" w:rsidRPr="00C93390" w:rsidRDefault="00914746" w:rsidP="00DF3855">
            <w:pPr>
              <w:jc w:val="center"/>
              <w:rPr>
                <w:rFonts w:ascii="Calibri" w:eastAsia="Times New Roman" w:hAnsi="Calibri" w:cs="Times New Roman"/>
                <w:b/>
                <w:color w:val="000000"/>
                <w:sz w:val="22"/>
                <w:szCs w:val="22"/>
              </w:rPr>
            </w:pPr>
            <w:r>
              <w:rPr>
                <w:rFonts w:ascii="Calibri" w:eastAsia="Times New Roman" w:hAnsi="Calibri" w:cs="Times New Roman"/>
                <w:b/>
                <w:color w:val="000000"/>
                <w:sz w:val="22"/>
                <w:szCs w:val="22"/>
              </w:rPr>
              <w:t>52%</w:t>
            </w:r>
          </w:p>
        </w:tc>
        <w:tc>
          <w:tcPr>
            <w:tcW w:w="2070" w:type="dxa"/>
            <w:tcBorders>
              <w:top w:val="single" w:sz="4" w:space="0" w:color="auto"/>
              <w:right w:val="single" w:sz="4" w:space="0" w:color="auto"/>
            </w:tcBorders>
            <w:shd w:val="clear" w:color="auto" w:fill="auto"/>
            <w:noWrap/>
            <w:vAlign w:val="center"/>
            <w:hideMark/>
          </w:tcPr>
          <w:p w14:paraId="081A055E" w14:textId="77777777" w:rsidR="00C93390" w:rsidRPr="00DC5C2F" w:rsidRDefault="00C93390"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Camps &amp; Villages</w:t>
            </w:r>
          </w:p>
        </w:tc>
      </w:tr>
      <w:tr w:rsidR="00C93390" w:rsidRPr="00001813" w14:paraId="54E7FF45" w14:textId="77777777" w:rsidTr="00DF3855">
        <w:trPr>
          <w:trHeight w:hRule="exact" w:val="288"/>
          <w:jc w:val="center"/>
        </w:trPr>
        <w:tc>
          <w:tcPr>
            <w:tcW w:w="1623" w:type="dxa"/>
            <w:vMerge/>
            <w:tcBorders>
              <w:top w:val="single" w:sz="4" w:space="0" w:color="auto"/>
              <w:left w:val="single" w:sz="4" w:space="0" w:color="auto"/>
              <w:bottom w:val="single" w:sz="4" w:space="0" w:color="auto"/>
              <w:right w:val="single" w:sz="4" w:space="0" w:color="auto"/>
            </w:tcBorders>
            <w:vAlign w:val="center"/>
          </w:tcPr>
          <w:p w14:paraId="10E56CFE" w14:textId="77777777" w:rsidR="00C93390" w:rsidRPr="00DC5C2F" w:rsidRDefault="00C93390" w:rsidP="00C93390">
            <w:pPr>
              <w:jc w:val="center"/>
              <w:rPr>
                <w:rFonts w:ascii="Calibri" w:eastAsia="Times New Roman" w:hAnsi="Calibri" w:cs="Times New Roman"/>
                <w:sz w:val="18"/>
                <w:szCs w:val="18"/>
              </w:rPr>
            </w:pPr>
          </w:p>
        </w:tc>
        <w:tc>
          <w:tcPr>
            <w:tcW w:w="497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93134E" w14:textId="77777777" w:rsidR="00C93390" w:rsidRPr="00001813" w:rsidRDefault="00C93390" w:rsidP="00C93390">
            <w:pPr>
              <w:rPr>
                <w:rFonts w:ascii="Calibri" w:eastAsia="Times New Roman" w:hAnsi="Calibri" w:cs="Times New Roman"/>
                <w:sz w:val="22"/>
                <w:szCs w:val="22"/>
              </w:rPr>
            </w:pPr>
          </w:p>
        </w:tc>
        <w:tc>
          <w:tcPr>
            <w:tcW w:w="900" w:type="dxa"/>
            <w:tcBorders>
              <w:left w:val="nil"/>
            </w:tcBorders>
            <w:vAlign w:val="center"/>
          </w:tcPr>
          <w:p w14:paraId="415878AB" w14:textId="5629981A" w:rsidR="00C93390" w:rsidRPr="00C93390" w:rsidRDefault="00271D97" w:rsidP="00DF3855">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57%</w:t>
            </w:r>
          </w:p>
        </w:tc>
        <w:tc>
          <w:tcPr>
            <w:tcW w:w="2070" w:type="dxa"/>
            <w:tcBorders>
              <w:right w:val="single" w:sz="4" w:space="0" w:color="auto"/>
            </w:tcBorders>
            <w:shd w:val="clear" w:color="auto" w:fill="auto"/>
            <w:noWrap/>
            <w:vAlign w:val="center"/>
          </w:tcPr>
          <w:p w14:paraId="7A1A1015" w14:textId="77777777" w:rsidR="00C93390" w:rsidRPr="00DC5C2F" w:rsidRDefault="00C93390"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IDP camps</w:t>
            </w:r>
          </w:p>
        </w:tc>
      </w:tr>
      <w:tr w:rsidR="00C93390" w:rsidRPr="00001813" w14:paraId="3E7CF06A" w14:textId="77777777" w:rsidTr="00DF3855">
        <w:trPr>
          <w:trHeight w:hRule="exact" w:val="288"/>
          <w:jc w:val="center"/>
        </w:trPr>
        <w:tc>
          <w:tcPr>
            <w:tcW w:w="1623" w:type="dxa"/>
            <w:vMerge/>
            <w:tcBorders>
              <w:top w:val="single" w:sz="4" w:space="0" w:color="auto"/>
              <w:left w:val="single" w:sz="4" w:space="0" w:color="auto"/>
              <w:bottom w:val="single" w:sz="4" w:space="0" w:color="auto"/>
              <w:right w:val="single" w:sz="4" w:space="0" w:color="auto"/>
            </w:tcBorders>
            <w:vAlign w:val="center"/>
          </w:tcPr>
          <w:p w14:paraId="1A08D035" w14:textId="77777777" w:rsidR="00C93390" w:rsidRPr="00DC5C2F" w:rsidRDefault="00C93390" w:rsidP="00C93390">
            <w:pPr>
              <w:jc w:val="center"/>
              <w:rPr>
                <w:rFonts w:ascii="Calibri" w:eastAsia="Times New Roman" w:hAnsi="Calibri" w:cs="Times New Roman"/>
                <w:sz w:val="18"/>
                <w:szCs w:val="18"/>
              </w:rPr>
            </w:pPr>
          </w:p>
        </w:tc>
        <w:tc>
          <w:tcPr>
            <w:tcW w:w="497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285433" w14:textId="77777777" w:rsidR="00C93390" w:rsidRPr="00001813" w:rsidRDefault="00C93390" w:rsidP="00C93390">
            <w:pPr>
              <w:rPr>
                <w:rFonts w:ascii="Calibri" w:eastAsia="Times New Roman" w:hAnsi="Calibri" w:cs="Times New Roman"/>
                <w:sz w:val="22"/>
                <w:szCs w:val="22"/>
              </w:rPr>
            </w:pPr>
          </w:p>
        </w:tc>
        <w:tc>
          <w:tcPr>
            <w:tcW w:w="900" w:type="dxa"/>
            <w:tcBorders>
              <w:left w:val="nil"/>
            </w:tcBorders>
            <w:vAlign w:val="center"/>
          </w:tcPr>
          <w:p w14:paraId="2933054A" w14:textId="14BCFDBB" w:rsidR="00C93390" w:rsidRPr="00C93390" w:rsidRDefault="00271D97" w:rsidP="00DF3855">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54%</w:t>
            </w:r>
          </w:p>
        </w:tc>
        <w:tc>
          <w:tcPr>
            <w:tcW w:w="2070" w:type="dxa"/>
            <w:tcBorders>
              <w:right w:val="single" w:sz="4" w:space="0" w:color="auto"/>
            </w:tcBorders>
            <w:shd w:val="clear" w:color="auto" w:fill="auto"/>
            <w:noWrap/>
            <w:vAlign w:val="center"/>
          </w:tcPr>
          <w:p w14:paraId="255EBCC7" w14:textId="77777777" w:rsidR="00C93390" w:rsidRPr="00DC5C2F" w:rsidRDefault="00C93390"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Villages near Camps</w:t>
            </w:r>
          </w:p>
        </w:tc>
      </w:tr>
      <w:tr w:rsidR="00C93390" w:rsidRPr="00001813" w14:paraId="4BF393A8" w14:textId="77777777" w:rsidTr="00DF3855">
        <w:trPr>
          <w:trHeight w:hRule="exact" w:val="288"/>
          <w:jc w:val="center"/>
        </w:trPr>
        <w:tc>
          <w:tcPr>
            <w:tcW w:w="1623" w:type="dxa"/>
            <w:vMerge/>
            <w:tcBorders>
              <w:top w:val="single" w:sz="4" w:space="0" w:color="auto"/>
              <w:left w:val="single" w:sz="4" w:space="0" w:color="auto"/>
              <w:bottom w:val="single" w:sz="4" w:space="0" w:color="auto"/>
              <w:right w:val="single" w:sz="4" w:space="0" w:color="auto"/>
            </w:tcBorders>
            <w:vAlign w:val="center"/>
          </w:tcPr>
          <w:p w14:paraId="162DDED5" w14:textId="77777777" w:rsidR="00C93390" w:rsidRPr="00DC5C2F" w:rsidRDefault="00C93390" w:rsidP="00C93390">
            <w:pPr>
              <w:jc w:val="center"/>
              <w:rPr>
                <w:rFonts w:ascii="Calibri" w:eastAsia="Times New Roman" w:hAnsi="Calibri" w:cs="Times New Roman"/>
                <w:sz w:val="18"/>
                <w:szCs w:val="18"/>
              </w:rPr>
            </w:pPr>
          </w:p>
        </w:tc>
        <w:tc>
          <w:tcPr>
            <w:tcW w:w="497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CA5F60" w14:textId="77777777" w:rsidR="00C93390" w:rsidRPr="00001813" w:rsidRDefault="00C93390" w:rsidP="00C93390">
            <w:pPr>
              <w:rPr>
                <w:rFonts w:ascii="Calibri" w:eastAsia="Times New Roman" w:hAnsi="Calibri" w:cs="Times New Roman"/>
                <w:sz w:val="22"/>
                <w:szCs w:val="22"/>
              </w:rPr>
            </w:pPr>
          </w:p>
        </w:tc>
        <w:tc>
          <w:tcPr>
            <w:tcW w:w="900" w:type="dxa"/>
            <w:tcBorders>
              <w:left w:val="nil"/>
              <w:bottom w:val="single" w:sz="4" w:space="0" w:color="auto"/>
            </w:tcBorders>
            <w:vAlign w:val="center"/>
          </w:tcPr>
          <w:p w14:paraId="06B9E974" w14:textId="315EB212" w:rsidR="00C93390" w:rsidRPr="00C93390" w:rsidRDefault="00271D97" w:rsidP="00DF3855">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35%</w:t>
            </w:r>
          </w:p>
        </w:tc>
        <w:tc>
          <w:tcPr>
            <w:tcW w:w="2070" w:type="dxa"/>
            <w:tcBorders>
              <w:bottom w:val="single" w:sz="4" w:space="0" w:color="auto"/>
              <w:right w:val="single" w:sz="4" w:space="0" w:color="auto"/>
            </w:tcBorders>
            <w:shd w:val="clear" w:color="auto" w:fill="auto"/>
            <w:noWrap/>
            <w:vAlign w:val="center"/>
          </w:tcPr>
          <w:p w14:paraId="253DB91F" w14:textId="77777777" w:rsidR="00C93390" w:rsidRPr="00DC5C2F" w:rsidRDefault="00C93390"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Remote villages</w:t>
            </w:r>
          </w:p>
        </w:tc>
      </w:tr>
      <w:tr w:rsidR="00C93390" w:rsidRPr="00001813" w14:paraId="2A5F4384" w14:textId="77777777" w:rsidTr="00DF3855">
        <w:trPr>
          <w:trHeight w:hRule="exact" w:val="288"/>
          <w:jc w:val="center"/>
        </w:trPr>
        <w:tc>
          <w:tcPr>
            <w:tcW w:w="1623" w:type="dxa"/>
            <w:vMerge w:val="restart"/>
            <w:tcBorders>
              <w:top w:val="single" w:sz="4" w:space="0" w:color="auto"/>
              <w:left w:val="single" w:sz="4" w:space="0" w:color="auto"/>
              <w:right w:val="single" w:sz="4" w:space="0" w:color="auto"/>
            </w:tcBorders>
            <w:vAlign w:val="center"/>
          </w:tcPr>
          <w:p w14:paraId="444ED57D" w14:textId="3F906F54" w:rsidR="00C93390" w:rsidRPr="00DC5C2F" w:rsidRDefault="00C93390" w:rsidP="00C93390">
            <w:pPr>
              <w:jc w:val="cente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KAP Questionnaire</w:t>
            </w:r>
          </w:p>
        </w:tc>
        <w:tc>
          <w:tcPr>
            <w:tcW w:w="4972" w:type="dxa"/>
            <w:vMerge w:val="restart"/>
            <w:tcBorders>
              <w:top w:val="single" w:sz="4" w:space="0" w:color="auto"/>
              <w:left w:val="single" w:sz="4" w:space="0" w:color="auto"/>
              <w:right w:val="single" w:sz="4" w:space="0" w:color="auto"/>
            </w:tcBorders>
            <w:shd w:val="clear" w:color="auto" w:fill="auto"/>
            <w:vAlign w:val="center"/>
          </w:tcPr>
          <w:p w14:paraId="1F60E7B7" w14:textId="230BD125" w:rsidR="00C93390" w:rsidRPr="005E3B2D" w:rsidRDefault="00C93390" w:rsidP="00C93390">
            <w:pPr>
              <w:rPr>
                <w:rFonts w:ascii="Helvetica" w:hAnsi="Helvetica" w:cs="Arial"/>
                <w:i/>
                <w:iCs/>
                <w:color w:val="222222"/>
                <w:sz w:val="19"/>
                <w:szCs w:val="19"/>
              </w:rPr>
            </w:pPr>
            <w:r w:rsidRPr="005E3B2D">
              <w:rPr>
                <w:rFonts w:ascii="Helvetica" w:hAnsi="Helvetica" w:cs="Arial"/>
                <w:i/>
                <w:iCs/>
                <w:color w:val="222222"/>
                <w:sz w:val="19"/>
                <w:szCs w:val="19"/>
              </w:rPr>
              <w:t xml:space="preserve">% </w:t>
            </w:r>
            <w:proofErr w:type="gramStart"/>
            <w:r w:rsidRPr="005E3B2D">
              <w:rPr>
                <w:rFonts w:ascii="Helvetica" w:hAnsi="Helvetica" w:cs="Arial"/>
                <w:i/>
                <w:iCs/>
                <w:color w:val="222222"/>
                <w:sz w:val="19"/>
                <w:szCs w:val="19"/>
              </w:rPr>
              <w:t>households</w:t>
            </w:r>
            <w:proofErr w:type="gramEnd"/>
            <w:r w:rsidRPr="005E3B2D">
              <w:rPr>
                <w:rFonts w:ascii="Helvetica" w:hAnsi="Helvetica" w:cs="Arial"/>
                <w:i/>
                <w:iCs/>
                <w:color w:val="222222"/>
                <w:sz w:val="19"/>
                <w:szCs w:val="19"/>
              </w:rPr>
              <w:t xml:space="preserve"> collect water from protected source</w:t>
            </w:r>
          </w:p>
        </w:tc>
        <w:tc>
          <w:tcPr>
            <w:tcW w:w="900" w:type="dxa"/>
            <w:tcBorders>
              <w:top w:val="single" w:sz="4" w:space="0" w:color="auto"/>
              <w:left w:val="nil"/>
            </w:tcBorders>
            <w:vAlign w:val="center"/>
          </w:tcPr>
          <w:p w14:paraId="63A62002" w14:textId="70621F78" w:rsidR="00C93390" w:rsidRPr="00C93390" w:rsidRDefault="000E434E" w:rsidP="00DF3855">
            <w:pPr>
              <w:jc w:val="center"/>
              <w:rPr>
                <w:rFonts w:ascii="Calibri" w:eastAsia="Times New Roman" w:hAnsi="Calibri" w:cs="Times New Roman"/>
                <w:b/>
                <w:color w:val="000000"/>
                <w:sz w:val="22"/>
                <w:szCs w:val="22"/>
              </w:rPr>
            </w:pPr>
            <w:r>
              <w:rPr>
                <w:rFonts w:ascii="Calibri" w:eastAsia="Times New Roman" w:hAnsi="Calibri" w:cs="Times New Roman"/>
                <w:b/>
                <w:color w:val="000000"/>
                <w:sz w:val="22"/>
                <w:szCs w:val="22"/>
              </w:rPr>
              <w:t>84%</w:t>
            </w:r>
          </w:p>
        </w:tc>
        <w:tc>
          <w:tcPr>
            <w:tcW w:w="2070" w:type="dxa"/>
            <w:tcBorders>
              <w:top w:val="single" w:sz="4" w:space="0" w:color="auto"/>
              <w:right w:val="single" w:sz="4" w:space="0" w:color="auto"/>
            </w:tcBorders>
            <w:shd w:val="clear" w:color="auto" w:fill="auto"/>
            <w:noWrap/>
            <w:vAlign w:val="center"/>
          </w:tcPr>
          <w:p w14:paraId="7726E655" w14:textId="1F25F30C" w:rsidR="00C93390" w:rsidRPr="00DC5C2F" w:rsidRDefault="00C93390"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Camps &amp; Villages</w:t>
            </w:r>
          </w:p>
        </w:tc>
      </w:tr>
      <w:tr w:rsidR="00C93390" w:rsidRPr="00001813" w14:paraId="6CE72CA2" w14:textId="77777777" w:rsidTr="00DF3855">
        <w:trPr>
          <w:trHeight w:hRule="exact" w:val="288"/>
          <w:jc w:val="center"/>
        </w:trPr>
        <w:tc>
          <w:tcPr>
            <w:tcW w:w="1623" w:type="dxa"/>
            <w:vMerge/>
            <w:tcBorders>
              <w:left w:val="single" w:sz="4" w:space="0" w:color="auto"/>
              <w:right w:val="single" w:sz="4" w:space="0" w:color="auto"/>
            </w:tcBorders>
            <w:vAlign w:val="center"/>
          </w:tcPr>
          <w:p w14:paraId="23ADE384" w14:textId="77777777" w:rsidR="00C93390" w:rsidRPr="00DC5C2F" w:rsidRDefault="00C93390" w:rsidP="00C93390">
            <w:pPr>
              <w:jc w:val="center"/>
              <w:rPr>
                <w:rFonts w:ascii="Calibri" w:eastAsia="Times New Roman" w:hAnsi="Calibri" w:cs="Times New Roman"/>
                <w:color w:val="000000"/>
                <w:sz w:val="18"/>
                <w:szCs w:val="18"/>
              </w:rPr>
            </w:pPr>
          </w:p>
        </w:tc>
        <w:tc>
          <w:tcPr>
            <w:tcW w:w="4972" w:type="dxa"/>
            <w:vMerge/>
            <w:tcBorders>
              <w:left w:val="single" w:sz="4" w:space="0" w:color="auto"/>
              <w:right w:val="single" w:sz="4" w:space="0" w:color="auto"/>
            </w:tcBorders>
            <w:shd w:val="clear" w:color="auto" w:fill="auto"/>
            <w:vAlign w:val="center"/>
          </w:tcPr>
          <w:p w14:paraId="60FDFA25" w14:textId="77777777" w:rsidR="00C93390" w:rsidRPr="005E3B2D" w:rsidRDefault="00C93390" w:rsidP="00C93390">
            <w:pPr>
              <w:rPr>
                <w:rFonts w:ascii="Helvetica" w:hAnsi="Helvetica" w:cs="Arial"/>
                <w:i/>
                <w:iCs/>
                <w:color w:val="222222"/>
                <w:sz w:val="19"/>
                <w:szCs w:val="19"/>
              </w:rPr>
            </w:pPr>
          </w:p>
        </w:tc>
        <w:tc>
          <w:tcPr>
            <w:tcW w:w="900" w:type="dxa"/>
            <w:tcBorders>
              <w:left w:val="nil"/>
            </w:tcBorders>
            <w:vAlign w:val="center"/>
          </w:tcPr>
          <w:p w14:paraId="0A724A51" w14:textId="4A0D0413" w:rsidR="00C93390" w:rsidRPr="00DF3855" w:rsidRDefault="000E434E" w:rsidP="00DF3855">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98</w:t>
            </w:r>
            <w:r w:rsidR="00DF3855" w:rsidRPr="00DF3855">
              <w:rPr>
                <w:rFonts w:ascii="Calibri" w:eastAsia="Times New Roman" w:hAnsi="Calibri" w:cs="Times New Roman"/>
                <w:color w:val="000000"/>
                <w:sz w:val="20"/>
                <w:szCs w:val="20"/>
              </w:rPr>
              <w:t>%</w:t>
            </w:r>
          </w:p>
        </w:tc>
        <w:tc>
          <w:tcPr>
            <w:tcW w:w="2070" w:type="dxa"/>
            <w:tcBorders>
              <w:right w:val="single" w:sz="4" w:space="0" w:color="auto"/>
            </w:tcBorders>
            <w:shd w:val="clear" w:color="auto" w:fill="auto"/>
            <w:noWrap/>
            <w:vAlign w:val="center"/>
          </w:tcPr>
          <w:p w14:paraId="5D99B5FA" w14:textId="0DE9E1F6" w:rsidR="00C93390" w:rsidRPr="00DC5C2F" w:rsidRDefault="00C93390"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IDP camps</w:t>
            </w:r>
          </w:p>
        </w:tc>
      </w:tr>
      <w:tr w:rsidR="00C93390" w:rsidRPr="00001813" w14:paraId="0ECD6AF3" w14:textId="77777777" w:rsidTr="00DF3855">
        <w:trPr>
          <w:trHeight w:hRule="exact" w:val="288"/>
          <w:jc w:val="center"/>
        </w:trPr>
        <w:tc>
          <w:tcPr>
            <w:tcW w:w="1623" w:type="dxa"/>
            <w:vMerge/>
            <w:tcBorders>
              <w:left w:val="single" w:sz="4" w:space="0" w:color="auto"/>
              <w:right w:val="single" w:sz="4" w:space="0" w:color="auto"/>
            </w:tcBorders>
            <w:vAlign w:val="center"/>
          </w:tcPr>
          <w:p w14:paraId="7BA82381" w14:textId="77777777" w:rsidR="00C93390" w:rsidRPr="00DC5C2F" w:rsidRDefault="00C93390" w:rsidP="00C93390">
            <w:pPr>
              <w:jc w:val="center"/>
              <w:rPr>
                <w:rFonts w:ascii="Calibri" w:eastAsia="Times New Roman" w:hAnsi="Calibri" w:cs="Times New Roman"/>
                <w:color w:val="000000"/>
                <w:sz w:val="18"/>
                <w:szCs w:val="18"/>
              </w:rPr>
            </w:pPr>
          </w:p>
        </w:tc>
        <w:tc>
          <w:tcPr>
            <w:tcW w:w="4972" w:type="dxa"/>
            <w:vMerge/>
            <w:tcBorders>
              <w:left w:val="single" w:sz="4" w:space="0" w:color="auto"/>
              <w:right w:val="single" w:sz="4" w:space="0" w:color="auto"/>
            </w:tcBorders>
            <w:shd w:val="clear" w:color="auto" w:fill="auto"/>
            <w:vAlign w:val="center"/>
          </w:tcPr>
          <w:p w14:paraId="7C67185A" w14:textId="77777777" w:rsidR="00C93390" w:rsidRPr="005E3B2D" w:rsidRDefault="00C93390" w:rsidP="00C93390">
            <w:pPr>
              <w:rPr>
                <w:rFonts w:ascii="Helvetica" w:hAnsi="Helvetica" w:cs="Arial"/>
                <w:i/>
                <w:iCs/>
                <w:color w:val="222222"/>
                <w:sz w:val="19"/>
                <w:szCs w:val="19"/>
              </w:rPr>
            </w:pPr>
          </w:p>
        </w:tc>
        <w:tc>
          <w:tcPr>
            <w:tcW w:w="900" w:type="dxa"/>
            <w:tcBorders>
              <w:left w:val="nil"/>
            </w:tcBorders>
            <w:vAlign w:val="center"/>
          </w:tcPr>
          <w:p w14:paraId="1A1E24B7" w14:textId="7F5E453D" w:rsidR="00C93390" w:rsidRPr="00DF3855" w:rsidRDefault="000E434E" w:rsidP="00DF3855">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73%</w:t>
            </w:r>
          </w:p>
        </w:tc>
        <w:tc>
          <w:tcPr>
            <w:tcW w:w="2070" w:type="dxa"/>
            <w:tcBorders>
              <w:right w:val="single" w:sz="4" w:space="0" w:color="auto"/>
            </w:tcBorders>
            <w:shd w:val="clear" w:color="auto" w:fill="auto"/>
            <w:noWrap/>
            <w:vAlign w:val="center"/>
          </w:tcPr>
          <w:p w14:paraId="1173493D" w14:textId="608E6299" w:rsidR="00C93390" w:rsidRPr="00DC5C2F" w:rsidRDefault="00C93390"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Villages near Camps</w:t>
            </w:r>
          </w:p>
        </w:tc>
      </w:tr>
      <w:tr w:rsidR="00C93390" w:rsidRPr="00001813" w14:paraId="3F98570A" w14:textId="77777777" w:rsidTr="00DF3855">
        <w:trPr>
          <w:trHeight w:hRule="exact" w:val="288"/>
          <w:jc w:val="center"/>
        </w:trPr>
        <w:tc>
          <w:tcPr>
            <w:tcW w:w="1623" w:type="dxa"/>
            <w:vMerge/>
            <w:tcBorders>
              <w:left w:val="single" w:sz="4" w:space="0" w:color="auto"/>
              <w:bottom w:val="single" w:sz="4" w:space="0" w:color="auto"/>
              <w:right w:val="single" w:sz="4" w:space="0" w:color="auto"/>
            </w:tcBorders>
            <w:vAlign w:val="center"/>
          </w:tcPr>
          <w:p w14:paraId="798CB22F" w14:textId="77777777" w:rsidR="00C93390" w:rsidRPr="00DC5C2F" w:rsidRDefault="00C93390" w:rsidP="00C93390">
            <w:pPr>
              <w:jc w:val="center"/>
              <w:rPr>
                <w:rFonts w:ascii="Calibri" w:eastAsia="Times New Roman" w:hAnsi="Calibri" w:cs="Times New Roman"/>
                <w:color w:val="000000"/>
                <w:sz w:val="18"/>
                <w:szCs w:val="18"/>
              </w:rPr>
            </w:pPr>
          </w:p>
        </w:tc>
        <w:tc>
          <w:tcPr>
            <w:tcW w:w="4972" w:type="dxa"/>
            <w:vMerge/>
            <w:tcBorders>
              <w:left w:val="single" w:sz="4" w:space="0" w:color="auto"/>
              <w:bottom w:val="single" w:sz="4" w:space="0" w:color="auto"/>
              <w:right w:val="single" w:sz="4" w:space="0" w:color="auto"/>
            </w:tcBorders>
            <w:shd w:val="clear" w:color="auto" w:fill="auto"/>
            <w:vAlign w:val="center"/>
          </w:tcPr>
          <w:p w14:paraId="259CA0F9" w14:textId="77777777" w:rsidR="00C93390" w:rsidRPr="005E3B2D" w:rsidRDefault="00C93390" w:rsidP="00C93390">
            <w:pPr>
              <w:rPr>
                <w:rFonts w:ascii="Helvetica" w:hAnsi="Helvetica" w:cs="Arial"/>
                <w:i/>
                <w:iCs/>
                <w:color w:val="222222"/>
                <w:sz w:val="19"/>
                <w:szCs w:val="19"/>
              </w:rPr>
            </w:pPr>
          </w:p>
        </w:tc>
        <w:tc>
          <w:tcPr>
            <w:tcW w:w="900" w:type="dxa"/>
            <w:tcBorders>
              <w:left w:val="nil"/>
              <w:bottom w:val="single" w:sz="4" w:space="0" w:color="auto"/>
            </w:tcBorders>
            <w:vAlign w:val="center"/>
          </w:tcPr>
          <w:p w14:paraId="04D83984" w14:textId="5E931EBC" w:rsidR="00C93390" w:rsidRPr="00DF3855" w:rsidRDefault="000E434E" w:rsidP="00DF3855">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38%</w:t>
            </w:r>
          </w:p>
        </w:tc>
        <w:tc>
          <w:tcPr>
            <w:tcW w:w="2070" w:type="dxa"/>
            <w:tcBorders>
              <w:bottom w:val="single" w:sz="4" w:space="0" w:color="auto"/>
              <w:right w:val="single" w:sz="4" w:space="0" w:color="auto"/>
            </w:tcBorders>
            <w:shd w:val="clear" w:color="auto" w:fill="auto"/>
            <w:noWrap/>
            <w:vAlign w:val="center"/>
          </w:tcPr>
          <w:p w14:paraId="7623343F" w14:textId="51696551" w:rsidR="00C93390" w:rsidRPr="00DC5C2F" w:rsidRDefault="00C93390"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Remote villages</w:t>
            </w:r>
          </w:p>
        </w:tc>
      </w:tr>
      <w:tr w:rsidR="00DF3855" w:rsidRPr="00001813" w14:paraId="2985423C" w14:textId="77777777" w:rsidTr="00DF3855">
        <w:trPr>
          <w:trHeight w:hRule="exact" w:val="288"/>
          <w:jc w:val="center"/>
        </w:trPr>
        <w:tc>
          <w:tcPr>
            <w:tcW w:w="1623" w:type="dxa"/>
            <w:vMerge w:val="restart"/>
            <w:tcBorders>
              <w:top w:val="single" w:sz="4" w:space="0" w:color="auto"/>
              <w:left w:val="single" w:sz="4" w:space="0" w:color="auto"/>
              <w:right w:val="single" w:sz="4" w:space="0" w:color="auto"/>
            </w:tcBorders>
            <w:vAlign w:val="center"/>
          </w:tcPr>
          <w:p w14:paraId="524FE1BD" w14:textId="176333F0" w:rsidR="00DF3855" w:rsidRPr="00DC5C2F" w:rsidRDefault="00DF3855" w:rsidP="00C93390">
            <w:pPr>
              <w:jc w:val="center"/>
              <w:rPr>
                <w:rFonts w:ascii="Calibri" w:eastAsia="Times New Roman" w:hAnsi="Calibri" w:cs="Times New Roman"/>
                <w:color w:val="000000"/>
                <w:sz w:val="18"/>
                <w:szCs w:val="18"/>
              </w:rPr>
            </w:pPr>
            <w:r w:rsidRPr="00DC5C2F">
              <w:rPr>
                <w:rFonts w:ascii="Calibri" w:eastAsia="Times New Roman" w:hAnsi="Calibri" w:cs="Times New Roman"/>
                <w:sz w:val="18"/>
                <w:szCs w:val="18"/>
              </w:rPr>
              <w:t>HH Sanitary Survey</w:t>
            </w:r>
          </w:p>
        </w:tc>
        <w:tc>
          <w:tcPr>
            <w:tcW w:w="4972" w:type="dxa"/>
            <w:vMerge w:val="restart"/>
            <w:tcBorders>
              <w:top w:val="single" w:sz="4" w:space="0" w:color="auto"/>
              <w:left w:val="single" w:sz="4" w:space="0" w:color="auto"/>
              <w:right w:val="single" w:sz="4" w:space="0" w:color="auto"/>
            </w:tcBorders>
            <w:shd w:val="clear" w:color="auto" w:fill="auto"/>
            <w:vAlign w:val="center"/>
          </w:tcPr>
          <w:p w14:paraId="5D93F7F5" w14:textId="53CC3A34" w:rsidR="00DF3855" w:rsidRPr="005E3B2D" w:rsidRDefault="00DF3855" w:rsidP="00C93390">
            <w:pPr>
              <w:rPr>
                <w:rFonts w:ascii="Helvetica" w:hAnsi="Helvetica" w:cs="Arial"/>
                <w:i/>
                <w:iCs/>
                <w:color w:val="222222"/>
                <w:sz w:val="19"/>
                <w:szCs w:val="19"/>
              </w:rPr>
            </w:pPr>
            <w:r w:rsidRPr="005E3B2D">
              <w:rPr>
                <w:rFonts w:ascii="Helvetica" w:hAnsi="Helvetica" w:cs="Arial"/>
                <w:i/>
                <w:iCs/>
                <w:color w:val="222222"/>
                <w:sz w:val="19"/>
                <w:szCs w:val="19"/>
              </w:rPr>
              <w:t xml:space="preserve">% </w:t>
            </w:r>
            <w:proofErr w:type="gramStart"/>
            <w:r w:rsidRPr="005E3B2D">
              <w:rPr>
                <w:rFonts w:ascii="Helvetica" w:hAnsi="Helvetica" w:cs="Arial"/>
                <w:i/>
                <w:iCs/>
                <w:color w:val="222222"/>
                <w:sz w:val="19"/>
                <w:szCs w:val="19"/>
              </w:rPr>
              <w:t>households</w:t>
            </w:r>
            <w:proofErr w:type="gramEnd"/>
            <w:r w:rsidRPr="005E3B2D">
              <w:rPr>
                <w:rFonts w:ascii="Helvetica" w:hAnsi="Helvetica" w:cs="Arial"/>
                <w:i/>
                <w:iCs/>
                <w:color w:val="222222"/>
                <w:sz w:val="19"/>
                <w:szCs w:val="19"/>
              </w:rPr>
              <w:t xml:space="preserve"> practice treatment of water to reduce contamination</w:t>
            </w:r>
          </w:p>
        </w:tc>
        <w:tc>
          <w:tcPr>
            <w:tcW w:w="900" w:type="dxa"/>
            <w:tcBorders>
              <w:top w:val="single" w:sz="4" w:space="0" w:color="auto"/>
              <w:left w:val="nil"/>
            </w:tcBorders>
            <w:vAlign w:val="center"/>
          </w:tcPr>
          <w:p w14:paraId="109C6C37" w14:textId="4F12946D" w:rsidR="00DF3855" w:rsidRPr="00C93390" w:rsidRDefault="00DF3855" w:rsidP="00DF3855">
            <w:pPr>
              <w:jc w:val="center"/>
              <w:rPr>
                <w:rFonts w:ascii="Calibri" w:eastAsia="Times New Roman" w:hAnsi="Calibri" w:cs="Times New Roman"/>
                <w:b/>
                <w:color w:val="000000"/>
                <w:sz w:val="22"/>
                <w:szCs w:val="22"/>
              </w:rPr>
            </w:pPr>
            <w:r w:rsidRPr="008B503D">
              <w:rPr>
                <w:rFonts w:ascii="Calibri" w:eastAsia="Times New Roman" w:hAnsi="Calibri" w:cs="Times New Roman"/>
                <w:b/>
                <w:color w:val="000000"/>
                <w:sz w:val="22"/>
                <w:szCs w:val="22"/>
              </w:rPr>
              <w:t>51%</w:t>
            </w:r>
          </w:p>
        </w:tc>
        <w:tc>
          <w:tcPr>
            <w:tcW w:w="2070" w:type="dxa"/>
            <w:tcBorders>
              <w:top w:val="single" w:sz="4" w:space="0" w:color="auto"/>
              <w:right w:val="single" w:sz="4" w:space="0" w:color="auto"/>
            </w:tcBorders>
            <w:shd w:val="clear" w:color="auto" w:fill="auto"/>
            <w:noWrap/>
            <w:vAlign w:val="center"/>
          </w:tcPr>
          <w:p w14:paraId="5BF03745" w14:textId="77A40D1F" w:rsidR="00DF3855" w:rsidRPr="00DC5C2F" w:rsidRDefault="00DF3855"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Camps &amp; Villages</w:t>
            </w:r>
          </w:p>
        </w:tc>
      </w:tr>
      <w:tr w:rsidR="00DF3855" w:rsidRPr="00001813" w14:paraId="0EE446CD" w14:textId="77777777" w:rsidTr="00DF3855">
        <w:trPr>
          <w:trHeight w:hRule="exact" w:val="288"/>
          <w:jc w:val="center"/>
        </w:trPr>
        <w:tc>
          <w:tcPr>
            <w:tcW w:w="1623" w:type="dxa"/>
            <w:vMerge/>
            <w:tcBorders>
              <w:left w:val="single" w:sz="4" w:space="0" w:color="auto"/>
              <w:right w:val="single" w:sz="4" w:space="0" w:color="auto"/>
            </w:tcBorders>
            <w:vAlign w:val="center"/>
          </w:tcPr>
          <w:p w14:paraId="784ACE69" w14:textId="77777777" w:rsidR="00DF3855" w:rsidRPr="00DC5C2F" w:rsidRDefault="00DF3855" w:rsidP="00C93390">
            <w:pPr>
              <w:jc w:val="center"/>
              <w:rPr>
                <w:rFonts w:ascii="Calibri" w:eastAsia="Times New Roman" w:hAnsi="Calibri" w:cs="Times New Roman"/>
                <w:color w:val="000000"/>
                <w:sz w:val="18"/>
                <w:szCs w:val="18"/>
              </w:rPr>
            </w:pPr>
          </w:p>
        </w:tc>
        <w:tc>
          <w:tcPr>
            <w:tcW w:w="4972" w:type="dxa"/>
            <w:vMerge/>
            <w:tcBorders>
              <w:left w:val="single" w:sz="4" w:space="0" w:color="auto"/>
              <w:right w:val="single" w:sz="4" w:space="0" w:color="auto"/>
            </w:tcBorders>
            <w:shd w:val="clear" w:color="auto" w:fill="auto"/>
            <w:vAlign w:val="center"/>
          </w:tcPr>
          <w:p w14:paraId="68DD9172" w14:textId="77777777" w:rsidR="00DF3855" w:rsidRPr="005E3B2D" w:rsidRDefault="00DF3855" w:rsidP="00C93390">
            <w:pPr>
              <w:rPr>
                <w:rFonts w:ascii="Helvetica" w:hAnsi="Helvetica" w:cs="Arial"/>
                <w:i/>
                <w:iCs/>
                <w:color w:val="222222"/>
                <w:sz w:val="19"/>
                <w:szCs w:val="19"/>
              </w:rPr>
            </w:pPr>
          </w:p>
        </w:tc>
        <w:tc>
          <w:tcPr>
            <w:tcW w:w="900" w:type="dxa"/>
            <w:tcBorders>
              <w:left w:val="nil"/>
            </w:tcBorders>
            <w:vAlign w:val="center"/>
          </w:tcPr>
          <w:p w14:paraId="1721B3A2" w14:textId="16D5014D" w:rsidR="00DF3855" w:rsidRPr="00C93390" w:rsidRDefault="00DF3855" w:rsidP="00DF3855">
            <w:pPr>
              <w:jc w:val="center"/>
              <w:rPr>
                <w:rFonts w:ascii="Calibri" w:eastAsia="Times New Roman" w:hAnsi="Calibri" w:cs="Times New Roman"/>
                <w:b/>
                <w:color w:val="000000"/>
                <w:sz w:val="22"/>
                <w:szCs w:val="22"/>
              </w:rPr>
            </w:pPr>
            <w:r w:rsidRPr="00622B7A">
              <w:rPr>
                <w:rFonts w:ascii="Calibri" w:eastAsia="Times New Roman" w:hAnsi="Calibri" w:cs="Times New Roman"/>
                <w:color w:val="000000"/>
                <w:sz w:val="20"/>
                <w:szCs w:val="20"/>
              </w:rPr>
              <w:t>61%</w:t>
            </w:r>
          </w:p>
        </w:tc>
        <w:tc>
          <w:tcPr>
            <w:tcW w:w="2070" w:type="dxa"/>
            <w:tcBorders>
              <w:right w:val="single" w:sz="4" w:space="0" w:color="auto"/>
            </w:tcBorders>
            <w:shd w:val="clear" w:color="auto" w:fill="auto"/>
            <w:noWrap/>
            <w:vAlign w:val="center"/>
          </w:tcPr>
          <w:p w14:paraId="02F512F1" w14:textId="6B9853D2" w:rsidR="00DF3855" w:rsidRPr="00DC5C2F" w:rsidRDefault="00DF3855"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IDP camps</w:t>
            </w:r>
          </w:p>
        </w:tc>
      </w:tr>
      <w:tr w:rsidR="00DF3855" w:rsidRPr="00001813" w14:paraId="1808FC00" w14:textId="77777777" w:rsidTr="00DF3855">
        <w:trPr>
          <w:trHeight w:hRule="exact" w:val="288"/>
          <w:jc w:val="center"/>
        </w:trPr>
        <w:tc>
          <w:tcPr>
            <w:tcW w:w="1623" w:type="dxa"/>
            <w:vMerge/>
            <w:tcBorders>
              <w:left w:val="single" w:sz="4" w:space="0" w:color="auto"/>
              <w:right w:val="single" w:sz="4" w:space="0" w:color="auto"/>
            </w:tcBorders>
            <w:vAlign w:val="center"/>
          </w:tcPr>
          <w:p w14:paraId="667CD022" w14:textId="77777777" w:rsidR="00DF3855" w:rsidRPr="00DC5C2F" w:rsidRDefault="00DF3855" w:rsidP="00C93390">
            <w:pPr>
              <w:jc w:val="center"/>
              <w:rPr>
                <w:rFonts w:ascii="Calibri" w:eastAsia="Times New Roman" w:hAnsi="Calibri" w:cs="Times New Roman"/>
                <w:color w:val="000000"/>
                <w:sz w:val="18"/>
                <w:szCs w:val="18"/>
              </w:rPr>
            </w:pPr>
          </w:p>
        </w:tc>
        <w:tc>
          <w:tcPr>
            <w:tcW w:w="4972" w:type="dxa"/>
            <w:vMerge/>
            <w:tcBorders>
              <w:left w:val="single" w:sz="4" w:space="0" w:color="auto"/>
              <w:right w:val="single" w:sz="4" w:space="0" w:color="auto"/>
            </w:tcBorders>
            <w:shd w:val="clear" w:color="auto" w:fill="auto"/>
            <w:vAlign w:val="center"/>
          </w:tcPr>
          <w:p w14:paraId="5D4998E4" w14:textId="77777777" w:rsidR="00DF3855" w:rsidRPr="005E3B2D" w:rsidRDefault="00DF3855" w:rsidP="00C93390">
            <w:pPr>
              <w:rPr>
                <w:rFonts w:ascii="Helvetica" w:hAnsi="Helvetica" w:cs="Arial"/>
                <w:i/>
                <w:iCs/>
                <w:color w:val="222222"/>
                <w:sz w:val="19"/>
                <w:szCs w:val="19"/>
              </w:rPr>
            </w:pPr>
          </w:p>
        </w:tc>
        <w:tc>
          <w:tcPr>
            <w:tcW w:w="900" w:type="dxa"/>
            <w:tcBorders>
              <w:left w:val="nil"/>
            </w:tcBorders>
            <w:vAlign w:val="center"/>
          </w:tcPr>
          <w:p w14:paraId="6B7B5C49" w14:textId="049FA970" w:rsidR="00DF3855" w:rsidRPr="00C93390" w:rsidRDefault="00DF3855" w:rsidP="00DF3855">
            <w:pPr>
              <w:jc w:val="center"/>
              <w:rPr>
                <w:rFonts w:ascii="Calibri" w:eastAsia="Times New Roman" w:hAnsi="Calibri" w:cs="Times New Roman"/>
                <w:b/>
                <w:color w:val="000000"/>
                <w:sz w:val="22"/>
                <w:szCs w:val="22"/>
              </w:rPr>
            </w:pPr>
            <w:r w:rsidRPr="00622B7A">
              <w:rPr>
                <w:rFonts w:ascii="Calibri" w:eastAsia="Times New Roman" w:hAnsi="Calibri" w:cs="Times New Roman"/>
                <w:color w:val="000000"/>
                <w:sz w:val="20"/>
                <w:szCs w:val="20"/>
              </w:rPr>
              <w:t>37%</w:t>
            </w:r>
          </w:p>
        </w:tc>
        <w:tc>
          <w:tcPr>
            <w:tcW w:w="2070" w:type="dxa"/>
            <w:tcBorders>
              <w:right w:val="single" w:sz="4" w:space="0" w:color="auto"/>
            </w:tcBorders>
            <w:shd w:val="clear" w:color="auto" w:fill="auto"/>
            <w:noWrap/>
            <w:vAlign w:val="center"/>
          </w:tcPr>
          <w:p w14:paraId="76904737" w14:textId="4DD49F57" w:rsidR="00DF3855" w:rsidRPr="00DC5C2F" w:rsidRDefault="00DF3855"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Villages near Camps</w:t>
            </w:r>
          </w:p>
        </w:tc>
      </w:tr>
      <w:tr w:rsidR="00DF3855" w:rsidRPr="00001813" w14:paraId="2DBCD15A" w14:textId="77777777" w:rsidTr="00DF3855">
        <w:trPr>
          <w:trHeight w:hRule="exact" w:val="288"/>
          <w:jc w:val="center"/>
        </w:trPr>
        <w:tc>
          <w:tcPr>
            <w:tcW w:w="1623" w:type="dxa"/>
            <w:vMerge/>
            <w:tcBorders>
              <w:left w:val="single" w:sz="4" w:space="0" w:color="auto"/>
              <w:bottom w:val="single" w:sz="4" w:space="0" w:color="auto"/>
              <w:right w:val="single" w:sz="4" w:space="0" w:color="auto"/>
            </w:tcBorders>
            <w:vAlign w:val="center"/>
          </w:tcPr>
          <w:p w14:paraId="2BB83895" w14:textId="77777777" w:rsidR="00DF3855" w:rsidRPr="00DC5C2F" w:rsidRDefault="00DF3855" w:rsidP="00C93390">
            <w:pPr>
              <w:jc w:val="center"/>
              <w:rPr>
                <w:rFonts w:ascii="Calibri" w:eastAsia="Times New Roman" w:hAnsi="Calibri" w:cs="Times New Roman"/>
                <w:color w:val="000000"/>
                <w:sz w:val="18"/>
                <w:szCs w:val="18"/>
              </w:rPr>
            </w:pPr>
          </w:p>
        </w:tc>
        <w:tc>
          <w:tcPr>
            <w:tcW w:w="4972" w:type="dxa"/>
            <w:vMerge/>
            <w:tcBorders>
              <w:left w:val="single" w:sz="4" w:space="0" w:color="auto"/>
              <w:bottom w:val="single" w:sz="4" w:space="0" w:color="auto"/>
              <w:right w:val="single" w:sz="4" w:space="0" w:color="auto"/>
            </w:tcBorders>
            <w:shd w:val="clear" w:color="auto" w:fill="auto"/>
            <w:vAlign w:val="center"/>
          </w:tcPr>
          <w:p w14:paraId="555F88E4" w14:textId="77777777" w:rsidR="00DF3855" w:rsidRPr="005E3B2D" w:rsidRDefault="00DF3855" w:rsidP="00C93390">
            <w:pPr>
              <w:rPr>
                <w:rFonts w:ascii="Helvetica" w:hAnsi="Helvetica" w:cs="Arial"/>
                <w:i/>
                <w:iCs/>
                <w:color w:val="222222"/>
                <w:sz w:val="19"/>
                <w:szCs w:val="19"/>
              </w:rPr>
            </w:pPr>
          </w:p>
        </w:tc>
        <w:tc>
          <w:tcPr>
            <w:tcW w:w="900" w:type="dxa"/>
            <w:tcBorders>
              <w:left w:val="nil"/>
              <w:bottom w:val="single" w:sz="4" w:space="0" w:color="auto"/>
            </w:tcBorders>
            <w:vAlign w:val="center"/>
          </w:tcPr>
          <w:p w14:paraId="4D1367B9" w14:textId="7C33E595" w:rsidR="00DF3855" w:rsidRPr="00C93390" w:rsidRDefault="00DF3855" w:rsidP="00DF3855">
            <w:pPr>
              <w:jc w:val="center"/>
              <w:rPr>
                <w:rFonts w:ascii="Calibri" w:eastAsia="Times New Roman" w:hAnsi="Calibri" w:cs="Times New Roman"/>
                <w:b/>
                <w:color w:val="000000"/>
                <w:sz w:val="22"/>
                <w:szCs w:val="22"/>
              </w:rPr>
            </w:pPr>
            <w:r w:rsidRPr="00622B7A">
              <w:rPr>
                <w:rFonts w:ascii="Calibri" w:eastAsia="Times New Roman" w:hAnsi="Calibri" w:cs="Times New Roman"/>
                <w:color w:val="000000"/>
                <w:sz w:val="20"/>
                <w:szCs w:val="20"/>
              </w:rPr>
              <w:t>40%</w:t>
            </w:r>
          </w:p>
        </w:tc>
        <w:tc>
          <w:tcPr>
            <w:tcW w:w="2070" w:type="dxa"/>
            <w:tcBorders>
              <w:bottom w:val="single" w:sz="4" w:space="0" w:color="auto"/>
              <w:right w:val="single" w:sz="4" w:space="0" w:color="auto"/>
            </w:tcBorders>
            <w:shd w:val="clear" w:color="auto" w:fill="auto"/>
            <w:noWrap/>
            <w:vAlign w:val="center"/>
          </w:tcPr>
          <w:p w14:paraId="7C7EF653" w14:textId="70F1B6C7" w:rsidR="00DF3855" w:rsidRPr="00DC5C2F" w:rsidRDefault="00DF3855"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Remote villages</w:t>
            </w:r>
          </w:p>
        </w:tc>
      </w:tr>
      <w:tr w:rsidR="00DF3855" w:rsidRPr="00001813" w14:paraId="09FE92E2" w14:textId="77777777" w:rsidTr="00DF3855">
        <w:trPr>
          <w:trHeight w:hRule="exact" w:val="288"/>
          <w:jc w:val="center"/>
        </w:trPr>
        <w:tc>
          <w:tcPr>
            <w:tcW w:w="1623" w:type="dxa"/>
            <w:vMerge w:val="restart"/>
            <w:tcBorders>
              <w:top w:val="single" w:sz="4" w:space="0" w:color="auto"/>
              <w:left w:val="single" w:sz="4" w:space="0" w:color="auto"/>
              <w:right w:val="single" w:sz="4" w:space="0" w:color="auto"/>
            </w:tcBorders>
            <w:vAlign w:val="center"/>
          </w:tcPr>
          <w:p w14:paraId="0EF492BA" w14:textId="731A839C" w:rsidR="00DF3855" w:rsidRPr="00DC5C2F" w:rsidRDefault="00DF3855" w:rsidP="00C93390">
            <w:pPr>
              <w:jc w:val="center"/>
              <w:rPr>
                <w:rFonts w:ascii="Calibri" w:eastAsia="Times New Roman" w:hAnsi="Calibri" w:cs="Times New Roman"/>
                <w:sz w:val="18"/>
                <w:szCs w:val="18"/>
              </w:rPr>
            </w:pPr>
            <w:r w:rsidRPr="00DC5C2F">
              <w:rPr>
                <w:rFonts w:ascii="Calibri" w:eastAsia="Times New Roman" w:hAnsi="Calibri" w:cs="Times New Roman"/>
                <w:sz w:val="18"/>
                <w:szCs w:val="18"/>
              </w:rPr>
              <w:t>HH Sanitary Survey</w:t>
            </w:r>
          </w:p>
        </w:tc>
        <w:tc>
          <w:tcPr>
            <w:tcW w:w="4972" w:type="dxa"/>
            <w:vMerge w:val="restart"/>
            <w:tcBorders>
              <w:top w:val="single" w:sz="4" w:space="0" w:color="auto"/>
              <w:left w:val="single" w:sz="4" w:space="0" w:color="auto"/>
              <w:right w:val="single" w:sz="4" w:space="0" w:color="auto"/>
            </w:tcBorders>
            <w:shd w:val="clear" w:color="auto" w:fill="auto"/>
            <w:vAlign w:val="center"/>
          </w:tcPr>
          <w:p w14:paraId="57AD9374" w14:textId="5B571F90" w:rsidR="00DF3855" w:rsidRPr="00001813" w:rsidRDefault="00DF3855" w:rsidP="00C93390">
            <w:pPr>
              <w:rPr>
                <w:rFonts w:ascii="Calibri" w:eastAsia="Times New Roman" w:hAnsi="Calibri" w:cs="Times New Roman"/>
                <w:sz w:val="22"/>
                <w:szCs w:val="22"/>
              </w:rPr>
            </w:pPr>
            <w:r w:rsidRPr="005E3B2D">
              <w:rPr>
                <w:rFonts w:ascii="Helvetica" w:hAnsi="Helvetica" w:cs="Arial"/>
                <w:i/>
                <w:iCs/>
                <w:color w:val="222222"/>
                <w:sz w:val="19"/>
                <w:szCs w:val="19"/>
              </w:rPr>
              <w:t xml:space="preserve">% </w:t>
            </w:r>
            <w:proofErr w:type="gramStart"/>
            <w:r w:rsidRPr="005E3B2D">
              <w:rPr>
                <w:rFonts w:ascii="Helvetica" w:hAnsi="Helvetica" w:cs="Arial"/>
                <w:i/>
                <w:iCs/>
                <w:color w:val="222222"/>
                <w:sz w:val="19"/>
                <w:szCs w:val="19"/>
              </w:rPr>
              <w:t>men</w:t>
            </w:r>
            <w:proofErr w:type="gramEnd"/>
            <w:r w:rsidRPr="005E3B2D">
              <w:rPr>
                <w:rFonts w:ascii="Helvetica" w:hAnsi="Helvetica" w:cs="Arial"/>
                <w:i/>
                <w:iCs/>
                <w:color w:val="222222"/>
                <w:sz w:val="19"/>
                <w:szCs w:val="19"/>
              </w:rPr>
              <w:t>, women and children (&gt;7yrs) practice safe handling of treated and stored water to prevent re-contamination</w:t>
            </w:r>
          </w:p>
        </w:tc>
        <w:tc>
          <w:tcPr>
            <w:tcW w:w="900" w:type="dxa"/>
            <w:tcBorders>
              <w:top w:val="single" w:sz="4" w:space="0" w:color="auto"/>
              <w:left w:val="nil"/>
            </w:tcBorders>
            <w:vAlign w:val="center"/>
          </w:tcPr>
          <w:p w14:paraId="38FEB796" w14:textId="234C85EF" w:rsidR="00DF3855" w:rsidRPr="00C93390" w:rsidRDefault="005118AC" w:rsidP="00DF3855">
            <w:pPr>
              <w:jc w:val="center"/>
              <w:rPr>
                <w:rFonts w:ascii="Calibri" w:eastAsia="Times New Roman" w:hAnsi="Calibri" w:cs="Times New Roman"/>
                <w:b/>
                <w:color w:val="000000"/>
                <w:sz w:val="22"/>
                <w:szCs w:val="22"/>
              </w:rPr>
            </w:pPr>
            <w:r>
              <w:rPr>
                <w:rFonts w:ascii="Calibri" w:eastAsia="Times New Roman" w:hAnsi="Calibri" w:cs="Times New Roman"/>
                <w:b/>
                <w:color w:val="000000"/>
                <w:sz w:val="22"/>
                <w:szCs w:val="22"/>
              </w:rPr>
              <w:t>23%</w:t>
            </w:r>
          </w:p>
        </w:tc>
        <w:tc>
          <w:tcPr>
            <w:tcW w:w="2070" w:type="dxa"/>
            <w:tcBorders>
              <w:top w:val="single" w:sz="4" w:space="0" w:color="auto"/>
              <w:right w:val="single" w:sz="4" w:space="0" w:color="auto"/>
            </w:tcBorders>
            <w:shd w:val="clear" w:color="auto" w:fill="auto"/>
            <w:noWrap/>
            <w:vAlign w:val="center"/>
          </w:tcPr>
          <w:p w14:paraId="1ED5C54B" w14:textId="3B662A6C" w:rsidR="00DF3855" w:rsidRPr="00DC5C2F" w:rsidRDefault="00DF3855"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Camps &amp; Villages</w:t>
            </w:r>
          </w:p>
        </w:tc>
      </w:tr>
      <w:tr w:rsidR="00DF3855" w:rsidRPr="00001813" w14:paraId="6D75C2D9" w14:textId="77777777" w:rsidTr="00DF3855">
        <w:trPr>
          <w:trHeight w:hRule="exact" w:val="288"/>
          <w:jc w:val="center"/>
        </w:trPr>
        <w:tc>
          <w:tcPr>
            <w:tcW w:w="1623" w:type="dxa"/>
            <w:vMerge/>
            <w:tcBorders>
              <w:left w:val="single" w:sz="4" w:space="0" w:color="auto"/>
              <w:right w:val="single" w:sz="4" w:space="0" w:color="auto"/>
            </w:tcBorders>
            <w:vAlign w:val="center"/>
          </w:tcPr>
          <w:p w14:paraId="0655AA44" w14:textId="77777777" w:rsidR="00DF3855" w:rsidRPr="00DC5C2F" w:rsidRDefault="00DF3855" w:rsidP="00C93390">
            <w:pPr>
              <w:jc w:val="center"/>
              <w:rPr>
                <w:rFonts w:ascii="Calibri" w:eastAsia="Times New Roman" w:hAnsi="Calibri" w:cs="Times New Roman"/>
                <w:sz w:val="18"/>
                <w:szCs w:val="18"/>
              </w:rPr>
            </w:pPr>
          </w:p>
        </w:tc>
        <w:tc>
          <w:tcPr>
            <w:tcW w:w="4972" w:type="dxa"/>
            <w:vMerge/>
            <w:tcBorders>
              <w:left w:val="single" w:sz="4" w:space="0" w:color="auto"/>
              <w:right w:val="single" w:sz="4" w:space="0" w:color="auto"/>
            </w:tcBorders>
            <w:shd w:val="clear" w:color="auto" w:fill="auto"/>
            <w:vAlign w:val="center"/>
          </w:tcPr>
          <w:p w14:paraId="1F71B518" w14:textId="77777777" w:rsidR="00DF3855" w:rsidRPr="00001813" w:rsidRDefault="00DF3855" w:rsidP="00C93390">
            <w:pPr>
              <w:rPr>
                <w:rFonts w:ascii="Calibri" w:eastAsia="Times New Roman" w:hAnsi="Calibri" w:cs="Times New Roman"/>
                <w:sz w:val="22"/>
                <w:szCs w:val="22"/>
              </w:rPr>
            </w:pPr>
          </w:p>
        </w:tc>
        <w:tc>
          <w:tcPr>
            <w:tcW w:w="900" w:type="dxa"/>
            <w:tcBorders>
              <w:left w:val="nil"/>
            </w:tcBorders>
            <w:vAlign w:val="center"/>
          </w:tcPr>
          <w:p w14:paraId="683D0AA5" w14:textId="2CE5F5A5" w:rsidR="00DF3855" w:rsidRPr="005118AC" w:rsidRDefault="005118AC" w:rsidP="00DF3855">
            <w:pPr>
              <w:jc w:val="center"/>
              <w:rPr>
                <w:rFonts w:ascii="Calibri" w:eastAsia="Times New Roman" w:hAnsi="Calibri" w:cs="Times New Roman"/>
                <w:color w:val="000000"/>
                <w:sz w:val="20"/>
                <w:szCs w:val="20"/>
              </w:rPr>
            </w:pPr>
            <w:r w:rsidRPr="005118AC">
              <w:rPr>
                <w:rFonts w:ascii="Calibri" w:eastAsia="Times New Roman" w:hAnsi="Calibri" w:cs="Times New Roman"/>
                <w:color w:val="000000"/>
                <w:sz w:val="20"/>
                <w:szCs w:val="20"/>
              </w:rPr>
              <w:t>28%</w:t>
            </w:r>
          </w:p>
        </w:tc>
        <w:tc>
          <w:tcPr>
            <w:tcW w:w="2070" w:type="dxa"/>
            <w:tcBorders>
              <w:right w:val="single" w:sz="4" w:space="0" w:color="auto"/>
            </w:tcBorders>
            <w:shd w:val="clear" w:color="auto" w:fill="auto"/>
            <w:noWrap/>
            <w:vAlign w:val="center"/>
          </w:tcPr>
          <w:p w14:paraId="08CE4D3D" w14:textId="59764334" w:rsidR="00DF3855" w:rsidRPr="00DC5C2F" w:rsidRDefault="00DF3855"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IDP camps</w:t>
            </w:r>
          </w:p>
        </w:tc>
      </w:tr>
      <w:tr w:rsidR="00DF3855" w:rsidRPr="00001813" w14:paraId="67885986" w14:textId="77777777" w:rsidTr="00DF3855">
        <w:trPr>
          <w:trHeight w:hRule="exact" w:val="288"/>
          <w:jc w:val="center"/>
        </w:trPr>
        <w:tc>
          <w:tcPr>
            <w:tcW w:w="1623" w:type="dxa"/>
            <w:vMerge/>
            <w:tcBorders>
              <w:left w:val="single" w:sz="4" w:space="0" w:color="auto"/>
              <w:right w:val="single" w:sz="4" w:space="0" w:color="auto"/>
            </w:tcBorders>
            <w:vAlign w:val="center"/>
          </w:tcPr>
          <w:p w14:paraId="59C0E6AE" w14:textId="77777777" w:rsidR="00DF3855" w:rsidRPr="00DC5C2F" w:rsidRDefault="00DF3855" w:rsidP="00C93390">
            <w:pPr>
              <w:jc w:val="center"/>
              <w:rPr>
                <w:rFonts w:ascii="Calibri" w:eastAsia="Times New Roman" w:hAnsi="Calibri" w:cs="Times New Roman"/>
                <w:sz w:val="18"/>
                <w:szCs w:val="18"/>
              </w:rPr>
            </w:pPr>
          </w:p>
        </w:tc>
        <w:tc>
          <w:tcPr>
            <w:tcW w:w="4972" w:type="dxa"/>
            <w:vMerge/>
            <w:tcBorders>
              <w:left w:val="single" w:sz="4" w:space="0" w:color="auto"/>
              <w:right w:val="single" w:sz="4" w:space="0" w:color="auto"/>
            </w:tcBorders>
            <w:shd w:val="clear" w:color="auto" w:fill="auto"/>
            <w:vAlign w:val="center"/>
          </w:tcPr>
          <w:p w14:paraId="585E981F" w14:textId="77777777" w:rsidR="00DF3855" w:rsidRPr="00001813" w:rsidRDefault="00DF3855" w:rsidP="00C93390">
            <w:pPr>
              <w:rPr>
                <w:rFonts w:ascii="Calibri" w:eastAsia="Times New Roman" w:hAnsi="Calibri" w:cs="Times New Roman"/>
                <w:sz w:val="22"/>
                <w:szCs w:val="22"/>
              </w:rPr>
            </w:pPr>
          </w:p>
        </w:tc>
        <w:tc>
          <w:tcPr>
            <w:tcW w:w="900" w:type="dxa"/>
            <w:tcBorders>
              <w:left w:val="nil"/>
            </w:tcBorders>
            <w:vAlign w:val="center"/>
          </w:tcPr>
          <w:p w14:paraId="3FFEC137" w14:textId="0D0D8C8B" w:rsidR="00DF3855" w:rsidRPr="005118AC" w:rsidRDefault="005118AC" w:rsidP="00DF3855">
            <w:pPr>
              <w:jc w:val="center"/>
              <w:rPr>
                <w:rFonts w:ascii="Calibri" w:eastAsia="Times New Roman" w:hAnsi="Calibri" w:cs="Times New Roman"/>
                <w:color w:val="000000"/>
                <w:sz w:val="20"/>
                <w:szCs w:val="20"/>
              </w:rPr>
            </w:pPr>
            <w:r w:rsidRPr="005118AC">
              <w:rPr>
                <w:rFonts w:ascii="Calibri" w:eastAsia="Times New Roman" w:hAnsi="Calibri" w:cs="Times New Roman"/>
                <w:color w:val="000000"/>
                <w:sz w:val="20"/>
                <w:szCs w:val="20"/>
              </w:rPr>
              <w:t>17%</w:t>
            </w:r>
          </w:p>
        </w:tc>
        <w:tc>
          <w:tcPr>
            <w:tcW w:w="2070" w:type="dxa"/>
            <w:tcBorders>
              <w:right w:val="single" w:sz="4" w:space="0" w:color="auto"/>
            </w:tcBorders>
            <w:shd w:val="clear" w:color="auto" w:fill="auto"/>
            <w:noWrap/>
            <w:vAlign w:val="center"/>
          </w:tcPr>
          <w:p w14:paraId="2B4740A9" w14:textId="28FD1728" w:rsidR="00DF3855" w:rsidRPr="00DC5C2F" w:rsidRDefault="00DF3855"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Villages near Camps</w:t>
            </w:r>
          </w:p>
        </w:tc>
      </w:tr>
      <w:tr w:rsidR="00DF3855" w:rsidRPr="00001813" w14:paraId="5D273CF0" w14:textId="77777777" w:rsidTr="00DF3855">
        <w:trPr>
          <w:trHeight w:hRule="exact" w:val="288"/>
          <w:jc w:val="center"/>
        </w:trPr>
        <w:tc>
          <w:tcPr>
            <w:tcW w:w="1623" w:type="dxa"/>
            <w:vMerge/>
            <w:tcBorders>
              <w:left w:val="single" w:sz="4" w:space="0" w:color="auto"/>
              <w:bottom w:val="single" w:sz="4" w:space="0" w:color="auto"/>
              <w:right w:val="single" w:sz="4" w:space="0" w:color="auto"/>
            </w:tcBorders>
            <w:vAlign w:val="center"/>
          </w:tcPr>
          <w:p w14:paraId="74DF6A7B" w14:textId="77777777" w:rsidR="00DF3855" w:rsidRPr="00DC5C2F" w:rsidRDefault="00DF3855" w:rsidP="00C93390">
            <w:pPr>
              <w:jc w:val="center"/>
              <w:rPr>
                <w:rFonts w:ascii="Calibri" w:eastAsia="Times New Roman" w:hAnsi="Calibri" w:cs="Times New Roman"/>
                <w:sz w:val="18"/>
                <w:szCs w:val="18"/>
              </w:rPr>
            </w:pPr>
          </w:p>
        </w:tc>
        <w:tc>
          <w:tcPr>
            <w:tcW w:w="4972" w:type="dxa"/>
            <w:vMerge/>
            <w:tcBorders>
              <w:left w:val="single" w:sz="4" w:space="0" w:color="auto"/>
              <w:bottom w:val="single" w:sz="4" w:space="0" w:color="auto"/>
              <w:right w:val="single" w:sz="4" w:space="0" w:color="auto"/>
            </w:tcBorders>
            <w:shd w:val="clear" w:color="auto" w:fill="auto"/>
            <w:vAlign w:val="center"/>
          </w:tcPr>
          <w:p w14:paraId="3A04D3BD" w14:textId="77777777" w:rsidR="00DF3855" w:rsidRPr="00001813" w:rsidRDefault="00DF3855" w:rsidP="00C93390">
            <w:pPr>
              <w:rPr>
                <w:rFonts w:ascii="Calibri" w:eastAsia="Times New Roman" w:hAnsi="Calibri" w:cs="Times New Roman"/>
                <w:sz w:val="22"/>
                <w:szCs w:val="22"/>
              </w:rPr>
            </w:pPr>
          </w:p>
        </w:tc>
        <w:tc>
          <w:tcPr>
            <w:tcW w:w="900" w:type="dxa"/>
            <w:tcBorders>
              <w:left w:val="nil"/>
              <w:bottom w:val="single" w:sz="4" w:space="0" w:color="auto"/>
            </w:tcBorders>
            <w:vAlign w:val="center"/>
          </w:tcPr>
          <w:p w14:paraId="663BD898" w14:textId="5BD55C8D" w:rsidR="00DF3855" w:rsidRPr="005118AC" w:rsidRDefault="005118AC" w:rsidP="00DF3855">
            <w:pPr>
              <w:jc w:val="center"/>
              <w:rPr>
                <w:rFonts w:ascii="Calibri" w:eastAsia="Times New Roman" w:hAnsi="Calibri" w:cs="Times New Roman"/>
                <w:color w:val="000000"/>
                <w:sz w:val="20"/>
                <w:szCs w:val="20"/>
              </w:rPr>
            </w:pPr>
            <w:r w:rsidRPr="005118AC">
              <w:rPr>
                <w:rFonts w:ascii="Calibri" w:eastAsia="Times New Roman" w:hAnsi="Calibri" w:cs="Times New Roman"/>
                <w:color w:val="000000"/>
                <w:sz w:val="20"/>
                <w:szCs w:val="20"/>
              </w:rPr>
              <w:t>19%</w:t>
            </w:r>
          </w:p>
        </w:tc>
        <w:tc>
          <w:tcPr>
            <w:tcW w:w="2070" w:type="dxa"/>
            <w:tcBorders>
              <w:bottom w:val="single" w:sz="4" w:space="0" w:color="auto"/>
              <w:right w:val="single" w:sz="4" w:space="0" w:color="auto"/>
            </w:tcBorders>
            <w:shd w:val="clear" w:color="auto" w:fill="auto"/>
            <w:noWrap/>
            <w:vAlign w:val="center"/>
          </w:tcPr>
          <w:p w14:paraId="20F11E61" w14:textId="106E1747" w:rsidR="00DF3855" w:rsidRPr="00DC5C2F" w:rsidRDefault="00DF3855" w:rsidP="00C93390">
            <w:pPr>
              <w:rPr>
                <w:rFonts w:ascii="Calibri" w:eastAsia="Times New Roman" w:hAnsi="Calibri" w:cs="Times New Roman"/>
                <w:color w:val="000000"/>
                <w:sz w:val="18"/>
                <w:szCs w:val="18"/>
              </w:rPr>
            </w:pPr>
            <w:r w:rsidRPr="00DC5C2F">
              <w:rPr>
                <w:rFonts w:ascii="Calibri" w:eastAsia="Times New Roman" w:hAnsi="Calibri" w:cs="Times New Roman"/>
                <w:color w:val="000000"/>
                <w:sz w:val="18"/>
                <w:szCs w:val="18"/>
              </w:rPr>
              <w:t>Remote villages</w:t>
            </w:r>
          </w:p>
        </w:tc>
      </w:tr>
      <w:tr w:rsidR="00DF3855" w:rsidRPr="00001813" w14:paraId="345DBBFB" w14:textId="77777777" w:rsidTr="00FC7675">
        <w:trPr>
          <w:trHeight w:val="521"/>
          <w:jc w:val="center"/>
        </w:trPr>
        <w:tc>
          <w:tcPr>
            <w:tcW w:w="1623" w:type="dxa"/>
            <w:tcBorders>
              <w:top w:val="single" w:sz="4" w:space="0" w:color="auto"/>
              <w:left w:val="single" w:sz="4" w:space="0" w:color="auto"/>
              <w:bottom w:val="single" w:sz="4" w:space="0" w:color="auto"/>
              <w:right w:val="single" w:sz="4" w:space="0" w:color="auto"/>
            </w:tcBorders>
            <w:vAlign w:val="center"/>
          </w:tcPr>
          <w:p w14:paraId="40710CA2" w14:textId="3E144518" w:rsidR="00DF3855" w:rsidRPr="00DC5C2F" w:rsidRDefault="00DF3855" w:rsidP="00C93390">
            <w:pPr>
              <w:jc w:val="center"/>
              <w:rPr>
                <w:rFonts w:ascii="Calibri" w:eastAsia="Times New Roman" w:hAnsi="Calibri" w:cs="Times New Roman"/>
                <w:sz w:val="18"/>
                <w:szCs w:val="18"/>
              </w:rPr>
            </w:pPr>
          </w:p>
        </w:tc>
        <w:tc>
          <w:tcPr>
            <w:tcW w:w="4972" w:type="dxa"/>
            <w:tcBorders>
              <w:top w:val="single" w:sz="4" w:space="0" w:color="auto"/>
              <w:left w:val="single" w:sz="4" w:space="0" w:color="auto"/>
              <w:bottom w:val="single" w:sz="4" w:space="0" w:color="auto"/>
              <w:right w:val="single" w:sz="4" w:space="0" w:color="auto"/>
            </w:tcBorders>
            <w:shd w:val="clear" w:color="auto" w:fill="auto"/>
            <w:vAlign w:val="center"/>
          </w:tcPr>
          <w:p w14:paraId="4BFE684F" w14:textId="2E1C43C2" w:rsidR="00DF3855" w:rsidRPr="00001813" w:rsidRDefault="00DF3855" w:rsidP="00C93390">
            <w:pPr>
              <w:rPr>
                <w:rFonts w:ascii="Calibri" w:eastAsia="Times New Roman" w:hAnsi="Calibri" w:cs="Times New Roman"/>
                <w:sz w:val="22"/>
                <w:szCs w:val="22"/>
              </w:rPr>
            </w:pPr>
            <w:r w:rsidRPr="005E3B2D">
              <w:rPr>
                <w:rFonts w:ascii="Helvetica" w:hAnsi="Helvetica" w:cs="Arial"/>
                <w:i/>
                <w:iCs/>
                <w:color w:val="222222"/>
                <w:sz w:val="19"/>
                <w:szCs w:val="19"/>
              </w:rPr>
              <w:t xml:space="preserve">% </w:t>
            </w:r>
            <w:proofErr w:type="gramStart"/>
            <w:r w:rsidRPr="005E3B2D">
              <w:rPr>
                <w:rFonts w:ascii="Helvetica" w:hAnsi="Helvetica" w:cs="Arial"/>
                <w:i/>
                <w:iCs/>
                <w:color w:val="222222"/>
                <w:sz w:val="19"/>
                <w:szCs w:val="19"/>
              </w:rPr>
              <w:t>men</w:t>
            </w:r>
            <w:proofErr w:type="gramEnd"/>
            <w:r w:rsidRPr="005E3B2D">
              <w:rPr>
                <w:rFonts w:ascii="Helvetica" w:hAnsi="Helvetica" w:cs="Arial"/>
                <w:i/>
                <w:iCs/>
                <w:color w:val="222222"/>
                <w:sz w:val="19"/>
                <w:szCs w:val="19"/>
              </w:rPr>
              <w:t>, women and children (&gt;7yrs) use exclusively latrines</w:t>
            </w:r>
          </w:p>
        </w:tc>
        <w:tc>
          <w:tcPr>
            <w:tcW w:w="2970" w:type="dxa"/>
            <w:gridSpan w:val="2"/>
            <w:tcBorders>
              <w:top w:val="single" w:sz="4" w:space="0" w:color="auto"/>
              <w:left w:val="nil"/>
              <w:bottom w:val="single" w:sz="4" w:space="0" w:color="auto"/>
              <w:right w:val="single" w:sz="4" w:space="0" w:color="auto"/>
            </w:tcBorders>
            <w:vAlign w:val="center"/>
          </w:tcPr>
          <w:p w14:paraId="34F19E96" w14:textId="6077DC16" w:rsidR="00DF3855" w:rsidRPr="00DF3855" w:rsidRDefault="00DF3855" w:rsidP="00DF3855">
            <w:pPr>
              <w:jc w:val="center"/>
              <w:rPr>
                <w:rFonts w:ascii="Calibri" w:eastAsia="Times New Roman" w:hAnsi="Calibri" w:cs="Times New Roman"/>
                <w:i/>
                <w:color w:val="000000"/>
                <w:sz w:val="20"/>
                <w:szCs w:val="20"/>
              </w:rPr>
            </w:pPr>
            <w:r w:rsidRPr="00DF3855">
              <w:rPr>
                <w:rFonts w:ascii="Calibri" w:eastAsia="Times New Roman" w:hAnsi="Calibri" w:cs="Times New Roman"/>
                <w:i/>
                <w:color w:val="000000"/>
                <w:sz w:val="20"/>
                <w:szCs w:val="20"/>
              </w:rPr>
              <w:t>Not possible to determine</w:t>
            </w:r>
          </w:p>
        </w:tc>
      </w:tr>
      <w:tr w:rsidR="00DF3855" w:rsidRPr="00001813" w14:paraId="1A6CA7CB" w14:textId="77777777" w:rsidTr="00FC7675">
        <w:trPr>
          <w:trHeight w:val="521"/>
          <w:jc w:val="center"/>
        </w:trPr>
        <w:tc>
          <w:tcPr>
            <w:tcW w:w="1623" w:type="dxa"/>
            <w:tcBorders>
              <w:top w:val="single" w:sz="4" w:space="0" w:color="auto"/>
              <w:left w:val="single" w:sz="4" w:space="0" w:color="auto"/>
              <w:bottom w:val="single" w:sz="4" w:space="0" w:color="auto"/>
              <w:right w:val="single" w:sz="4" w:space="0" w:color="auto"/>
            </w:tcBorders>
            <w:vAlign w:val="center"/>
          </w:tcPr>
          <w:p w14:paraId="67A203A1" w14:textId="13135D68" w:rsidR="00DF3855" w:rsidRPr="00DC5C2F" w:rsidRDefault="00DF3855" w:rsidP="00C93390">
            <w:pPr>
              <w:jc w:val="center"/>
              <w:rPr>
                <w:rFonts w:ascii="Calibri" w:eastAsia="Times New Roman" w:hAnsi="Calibri" w:cs="Times New Roman"/>
                <w:sz w:val="18"/>
                <w:szCs w:val="18"/>
              </w:rPr>
            </w:pPr>
          </w:p>
        </w:tc>
        <w:tc>
          <w:tcPr>
            <w:tcW w:w="4972" w:type="dxa"/>
            <w:tcBorders>
              <w:top w:val="single" w:sz="4" w:space="0" w:color="auto"/>
              <w:left w:val="single" w:sz="4" w:space="0" w:color="auto"/>
              <w:bottom w:val="single" w:sz="4" w:space="0" w:color="auto"/>
              <w:right w:val="single" w:sz="4" w:space="0" w:color="auto"/>
            </w:tcBorders>
            <w:shd w:val="clear" w:color="auto" w:fill="auto"/>
            <w:vAlign w:val="center"/>
          </w:tcPr>
          <w:p w14:paraId="4D722B07" w14:textId="493AABDE" w:rsidR="00DF3855" w:rsidRPr="00001813" w:rsidRDefault="00DF3855" w:rsidP="00C93390">
            <w:pPr>
              <w:rPr>
                <w:rFonts w:ascii="Calibri" w:eastAsia="Times New Roman" w:hAnsi="Calibri" w:cs="Times New Roman"/>
                <w:sz w:val="22"/>
                <w:szCs w:val="22"/>
              </w:rPr>
            </w:pPr>
            <w:r w:rsidRPr="005E3B2D">
              <w:rPr>
                <w:rFonts w:ascii="Helvetica" w:hAnsi="Helvetica" w:cs="Arial"/>
                <w:i/>
                <w:iCs/>
                <w:color w:val="222222"/>
                <w:sz w:val="19"/>
                <w:szCs w:val="19"/>
              </w:rPr>
              <w:t xml:space="preserve">% </w:t>
            </w:r>
            <w:proofErr w:type="gramStart"/>
            <w:r w:rsidRPr="005E3B2D">
              <w:rPr>
                <w:rFonts w:ascii="Helvetica" w:hAnsi="Helvetica" w:cs="Arial"/>
                <w:i/>
                <w:iCs/>
                <w:color w:val="222222"/>
                <w:sz w:val="19"/>
                <w:szCs w:val="19"/>
              </w:rPr>
              <w:t>children</w:t>
            </w:r>
            <w:proofErr w:type="gramEnd"/>
            <w:r w:rsidRPr="005E3B2D">
              <w:rPr>
                <w:rFonts w:ascii="Helvetica" w:hAnsi="Helvetica" w:cs="Arial"/>
                <w:i/>
                <w:iCs/>
                <w:color w:val="222222"/>
                <w:sz w:val="19"/>
                <w:szCs w:val="19"/>
              </w:rPr>
              <w:t xml:space="preserve"> (&lt;7yrs) use exclusively latrines</w:t>
            </w:r>
          </w:p>
        </w:tc>
        <w:tc>
          <w:tcPr>
            <w:tcW w:w="2970" w:type="dxa"/>
            <w:gridSpan w:val="2"/>
            <w:tcBorders>
              <w:top w:val="single" w:sz="4" w:space="0" w:color="auto"/>
              <w:left w:val="single" w:sz="4" w:space="0" w:color="auto"/>
              <w:bottom w:val="single" w:sz="4" w:space="0" w:color="auto"/>
              <w:right w:val="single" w:sz="4" w:space="0" w:color="auto"/>
            </w:tcBorders>
            <w:vAlign w:val="center"/>
          </w:tcPr>
          <w:p w14:paraId="2D330C53" w14:textId="06E6D4A1" w:rsidR="00DF3855" w:rsidRPr="00DF3855" w:rsidRDefault="00DF3855" w:rsidP="00DF3855">
            <w:pPr>
              <w:jc w:val="center"/>
              <w:rPr>
                <w:rFonts w:ascii="Calibri" w:eastAsia="Times New Roman" w:hAnsi="Calibri" w:cs="Times New Roman"/>
                <w:i/>
                <w:color w:val="000000"/>
                <w:sz w:val="20"/>
                <w:szCs w:val="20"/>
              </w:rPr>
            </w:pPr>
            <w:r w:rsidRPr="00DF3855">
              <w:rPr>
                <w:rFonts w:ascii="Calibri" w:eastAsia="Times New Roman" w:hAnsi="Calibri" w:cs="Times New Roman"/>
                <w:i/>
                <w:color w:val="000000"/>
                <w:sz w:val="20"/>
                <w:szCs w:val="20"/>
              </w:rPr>
              <w:t>Not possible to determine</w:t>
            </w:r>
          </w:p>
        </w:tc>
      </w:tr>
    </w:tbl>
    <w:p w14:paraId="1DED42F0" w14:textId="77777777" w:rsidR="00C93390" w:rsidRDefault="00C93390" w:rsidP="00DC5C2F"/>
    <w:p w14:paraId="7C37DC7E" w14:textId="77777777" w:rsidR="005118AC" w:rsidRDefault="005118AC" w:rsidP="008C7A58">
      <w:pPr>
        <w:pStyle w:val="Heading2"/>
        <w:rPr>
          <w:color w:val="548DD4" w:themeColor="text2" w:themeTint="99"/>
          <w:sz w:val="32"/>
          <w:szCs w:val="32"/>
        </w:rPr>
      </w:pPr>
      <w:bookmarkStart w:id="65" w:name="_Toc292703959"/>
      <w:bookmarkStart w:id="66" w:name="_Toc292704177"/>
    </w:p>
    <w:p w14:paraId="23D0E525" w14:textId="77777777" w:rsidR="001216DF" w:rsidRDefault="001216DF">
      <w:pPr>
        <w:rPr>
          <w:rFonts w:asciiTheme="majorHAnsi" w:eastAsiaTheme="majorEastAsia" w:hAnsiTheme="majorHAnsi" w:cstheme="majorBidi"/>
          <w:b/>
          <w:bCs/>
          <w:color w:val="548DD4" w:themeColor="text2" w:themeTint="99"/>
        </w:rPr>
      </w:pPr>
      <w:r>
        <w:rPr>
          <w:color w:val="548DD4" w:themeColor="text2" w:themeTint="99"/>
        </w:rPr>
        <w:br w:type="page"/>
      </w:r>
    </w:p>
    <w:p w14:paraId="402FC97C" w14:textId="2582BE72" w:rsidR="001A1F69" w:rsidRPr="00290D65" w:rsidRDefault="00352F05" w:rsidP="008C7A58">
      <w:pPr>
        <w:pStyle w:val="Heading2"/>
        <w:rPr>
          <w:color w:val="548DD4" w:themeColor="text2" w:themeTint="99"/>
          <w:sz w:val="24"/>
          <w:szCs w:val="24"/>
        </w:rPr>
      </w:pPr>
      <w:bookmarkStart w:id="67" w:name="_Toc294273156"/>
      <w:r w:rsidRPr="00290D65">
        <w:rPr>
          <w:color w:val="548DD4" w:themeColor="text2" w:themeTint="99"/>
          <w:sz w:val="24"/>
          <w:szCs w:val="24"/>
        </w:rPr>
        <w:t>Annex 01</w:t>
      </w:r>
      <w:r w:rsidR="001A301D" w:rsidRPr="00290D65">
        <w:rPr>
          <w:color w:val="548DD4" w:themeColor="text2" w:themeTint="99"/>
          <w:sz w:val="24"/>
          <w:szCs w:val="24"/>
        </w:rPr>
        <w:t>:</w:t>
      </w:r>
      <w:r w:rsidR="001A301D" w:rsidRPr="00290D65">
        <w:rPr>
          <w:color w:val="548DD4" w:themeColor="text2" w:themeTint="99"/>
          <w:sz w:val="24"/>
          <w:szCs w:val="24"/>
        </w:rPr>
        <w:tab/>
      </w:r>
      <w:r w:rsidR="001A1F69" w:rsidRPr="00290D65">
        <w:rPr>
          <w:color w:val="548DD4" w:themeColor="text2" w:themeTint="99"/>
          <w:sz w:val="24"/>
          <w:szCs w:val="24"/>
        </w:rPr>
        <w:t>Survey Sampling</w:t>
      </w:r>
      <w:r w:rsidR="008C7A58">
        <w:rPr>
          <w:color w:val="548DD4" w:themeColor="text2" w:themeTint="99"/>
          <w:sz w:val="24"/>
          <w:szCs w:val="24"/>
        </w:rPr>
        <w:t xml:space="preserve"> by </w:t>
      </w:r>
      <w:r w:rsidR="00C144FE" w:rsidRPr="00290D65">
        <w:rPr>
          <w:color w:val="548DD4" w:themeColor="text2" w:themeTint="99"/>
          <w:sz w:val="24"/>
          <w:szCs w:val="24"/>
        </w:rPr>
        <w:t>Location, Ethnicity of Respondent and</w:t>
      </w:r>
      <w:bookmarkEnd w:id="65"/>
      <w:r w:rsidR="00C144FE" w:rsidRPr="00290D65">
        <w:rPr>
          <w:color w:val="548DD4" w:themeColor="text2" w:themeTint="99"/>
          <w:sz w:val="24"/>
          <w:szCs w:val="24"/>
        </w:rPr>
        <w:t xml:space="preserve"> </w:t>
      </w:r>
      <w:bookmarkStart w:id="68" w:name="_Toc292703960"/>
      <w:r w:rsidR="00C144FE" w:rsidRPr="00290D65">
        <w:rPr>
          <w:color w:val="548DD4" w:themeColor="text2" w:themeTint="99"/>
          <w:sz w:val="24"/>
          <w:szCs w:val="24"/>
        </w:rPr>
        <w:t>WASH Focal Agency</w:t>
      </w:r>
      <w:bookmarkEnd w:id="66"/>
      <w:bookmarkEnd w:id="68"/>
      <w:bookmarkEnd w:id="67"/>
    </w:p>
    <w:p w14:paraId="04517B02" w14:textId="77777777" w:rsidR="001A1F69" w:rsidRDefault="001A1F69">
      <w:pPr>
        <w:rPr>
          <w:rFonts w:asciiTheme="majorHAnsi" w:hAnsiTheme="majorHAnsi"/>
        </w:rPr>
      </w:pPr>
    </w:p>
    <w:p w14:paraId="2E930FB7" w14:textId="77777777" w:rsidR="00C144FE" w:rsidRDefault="00C144FE">
      <w:pPr>
        <w:rPr>
          <w:rFonts w:asciiTheme="majorHAnsi" w:hAnsiTheme="majorHAnsi"/>
        </w:rPr>
      </w:pPr>
    </w:p>
    <w:tbl>
      <w:tblPr>
        <w:tblW w:w="9495" w:type="dxa"/>
        <w:tblInd w:w="93" w:type="dxa"/>
        <w:tblLayout w:type="fixed"/>
        <w:tblLook w:val="04A0" w:firstRow="1" w:lastRow="0" w:firstColumn="1" w:lastColumn="0" w:noHBand="0" w:noVBand="1"/>
      </w:tblPr>
      <w:tblGrid>
        <w:gridCol w:w="422"/>
        <w:gridCol w:w="2079"/>
        <w:gridCol w:w="897"/>
        <w:gridCol w:w="1076"/>
        <w:gridCol w:w="1037"/>
        <w:gridCol w:w="1033"/>
        <w:gridCol w:w="791"/>
        <w:gridCol w:w="810"/>
        <w:gridCol w:w="630"/>
        <w:gridCol w:w="720"/>
      </w:tblGrid>
      <w:tr w:rsidR="00EB4D28" w:rsidRPr="00785817" w14:paraId="4F131633" w14:textId="77777777" w:rsidTr="00785817">
        <w:trPr>
          <w:trHeight w:val="377"/>
        </w:trPr>
        <w:tc>
          <w:tcPr>
            <w:tcW w:w="422" w:type="dxa"/>
            <w:tcBorders>
              <w:top w:val="nil"/>
              <w:left w:val="nil"/>
              <w:bottom w:val="nil"/>
              <w:right w:val="nil"/>
            </w:tcBorders>
            <w:shd w:val="clear" w:color="auto" w:fill="auto"/>
            <w:noWrap/>
            <w:tcMar>
              <w:left w:w="29" w:type="dxa"/>
              <w:right w:w="29" w:type="dxa"/>
            </w:tcMar>
            <w:vAlign w:val="center"/>
            <w:hideMark/>
          </w:tcPr>
          <w:p w14:paraId="44E8B0DA" w14:textId="77777777" w:rsidR="00EB4D28" w:rsidRPr="00785817" w:rsidRDefault="00EB4D28" w:rsidP="0034190C">
            <w:pPr>
              <w:rPr>
                <w:rFonts w:ascii="Arial Narrow" w:eastAsia="Times New Roman" w:hAnsi="Arial Narrow" w:cs="Arial"/>
                <w:sz w:val="18"/>
                <w:szCs w:val="18"/>
              </w:rPr>
            </w:pPr>
          </w:p>
        </w:tc>
        <w:tc>
          <w:tcPr>
            <w:tcW w:w="2079" w:type="dxa"/>
            <w:vMerge w:val="restart"/>
            <w:tcBorders>
              <w:top w:val="single" w:sz="4" w:space="0" w:color="auto"/>
              <w:left w:val="single" w:sz="4" w:space="0" w:color="auto"/>
              <w:bottom w:val="single" w:sz="4" w:space="0" w:color="000000"/>
            </w:tcBorders>
            <w:shd w:val="clear" w:color="auto" w:fill="E0E0E0"/>
            <w:tcMar>
              <w:left w:w="29" w:type="dxa"/>
              <w:right w:w="29" w:type="dxa"/>
            </w:tcMar>
            <w:vAlign w:val="center"/>
            <w:hideMark/>
          </w:tcPr>
          <w:p w14:paraId="2DD56CB8" w14:textId="36135563" w:rsidR="00EB4D28" w:rsidRPr="00785817" w:rsidRDefault="00EB4D28" w:rsidP="00EA2081">
            <w:pPr>
              <w:jc w:val="right"/>
              <w:rPr>
                <w:rFonts w:ascii="Arial Narrow" w:eastAsia="Times New Roman" w:hAnsi="Arial Narrow" w:cs="Arial"/>
                <w:sz w:val="18"/>
                <w:szCs w:val="18"/>
              </w:rPr>
            </w:pPr>
            <w:proofErr w:type="gramStart"/>
            <w:r w:rsidRPr="00785817">
              <w:rPr>
                <w:rFonts w:ascii="Arial Narrow" w:eastAsia="Times New Roman" w:hAnsi="Arial Narrow" w:cs="Arial"/>
                <w:sz w:val="18"/>
                <w:szCs w:val="18"/>
              </w:rPr>
              <w:t>Location</w:t>
            </w:r>
            <w:r w:rsidR="00EA2081">
              <w:rPr>
                <w:rFonts w:ascii="Arial Narrow" w:eastAsia="Times New Roman" w:hAnsi="Arial Narrow" w:cs="Arial"/>
                <w:sz w:val="18"/>
                <w:szCs w:val="18"/>
              </w:rPr>
              <w:t xml:space="preserve">     </w:t>
            </w:r>
            <w:r w:rsidR="00EA2081" w:rsidRPr="00EA2081">
              <w:rPr>
                <w:rFonts w:ascii="Arial Narrow" w:eastAsia="Times New Roman" w:hAnsi="Arial Narrow" w:cs="Arial"/>
                <w:color w:val="BFBFBF" w:themeColor="background1" w:themeShade="BF"/>
                <w:sz w:val="18"/>
                <w:szCs w:val="18"/>
              </w:rPr>
              <w:t xml:space="preserve"> .</w:t>
            </w:r>
            <w:proofErr w:type="gramEnd"/>
          </w:p>
        </w:tc>
        <w:tc>
          <w:tcPr>
            <w:tcW w:w="897" w:type="dxa"/>
            <w:vMerge w:val="restart"/>
            <w:tcBorders>
              <w:top w:val="single" w:sz="4" w:space="0" w:color="auto"/>
              <w:bottom w:val="single" w:sz="4" w:space="0" w:color="000000"/>
              <w:right w:val="single" w:sz="4" w:space="0" w:color="auto"/>
            </w:tcBorders>
            <w:shd w:val="clear" w:color="auto" w:fill="E0E0E0"/>
            <w:tcMar>
              <w:left w:w="29" w:type="dxa"/>
              <w:right w:w="29" w:type="dxa"/>
            </w:tcMar>
            <w:vAlign w:val="center"/>
            <w:hideMark/>
          </w:tcPr>
          <w:p w14:paraId="6FB89A4B" w14:textId="77777777" w:rsidR="00EB4D28" w:rsidRPr="00785817" w:rsidRDefault="00EB4D28" w:rsidP="0034190C">
            <w:pPr>
              <w:jc w:val="center"/>
              <w:rPr>
                <w:rFonts w:ascii="Arial Narrow" w:eastAsia="Times New Roman" w:hAnsi="Arial Narrow" w:cs="Arial"/>
                <w:sz w:val="18"/>
                <w:szCs w:val="18"/>
              </w:rPr>
            </w:pPr>
            <w:r w:rsidRPr="00785817">
              <w:rPr>
                <w:rFonts w:ascii="Arial Narrow" w:eastAsia="Times New Roman" w:hAnsi="Arial Narrow" w:cs="Arial"/>
                <w:sz w:val="18"/>
                <w:szCs w:val="18"/>
              </w:rPr>
              <w:t>Acronym</w:t>
            </w:r>
          </w:p>
        </w:tc>
        <w:tc>
          <w:tcPr>
            <w:tcW w:w="1076" w:type="dxa"/>
            <w:vMerge w:val="restart"/>
            <w:tcBorders>
              <w:top w:val="single" w:sz="4" w:space="0" w:color="auto"/>
              <w:left w:val="single" w:sz="4" w:space="0" w:color="auto"/>
              <w:bottom w:val="single" w:sz="4" w:space="0" w:color="000000"/>
              <w:right w:val="single" w:sz="4" w:space="0" w:color="auto"/>
            </w:tcBorders>
            <w:shd w:val="clear" w:color="auto" w:fill="E0E0E0"/>
            <w:tcMar>
              <w:left w:w="29" w:type="dxa"/>
              <w:right w:w="29" w:type="dxa"/>
            </w:tcMar>
            <w:vAlign w:val="center"/>
            <w:hideMark/>
          </w:tcPr>
          <w:p w14:paraId="18042C14" w14:textId="77777777" w:rsidR="00EB4D28" w:rsidRPr="00785817" w:rsidRDefault="00EB4D28" w:rsidP="0034190C">
            <w:pPr>
              <w:jc w:val="center"/>
              <w:rPr>
                <w:rFonts w:ascii="Arial Narrow" w:eastAsia="Times New Roman" w:hAnsi="Arial Narrow" w:cs="Arial"/>
                <w:sz w:val="18"/>
                <w:szCs w:val="18"/>
              </w:rPr>
            </w:pPr>
            <w:r w:rsidRPr="00785817">
              <w:rPr>
                <w:rFonts w:ascii="Arial Narrow" w:eastAsia="Times New Roman" w:hAnsi="Arial Narrow" w:cs="Arial"/>
                <w:sz w:val="18"/>
                <w:szCs w:val="18"/>
              </w:rPr>
              <w:t xml:space="preserve">Typology </w:t>
            </w:r>
          </w:p>
        </w:tc>
        <w:tc>
          <w:tcPr>
            <w:tcW w:w="1037" w:type="dxa"/>
            <w:vMerge w:val="restart"/>
            <w:tcBorders>
              <w:top w:val="single" w:sz="4" w:space="0" w:color="auto"/>
              <w:left w:val="single" w:sz="4" w:space="0" w:color="auto"/>
              <w:bottom w:val="single" w:sz="4" w:space="0" w:color="000000"/>
              <w:right w:val="single" w:sz="4" w:space="0" w:color="auto"/>
            </w:tcBorders>
            <w:shd w:val="clear" w:color="auto" w:fill="E0E0E0"/>
            <w:tcMar>
              <w:left w:w="29" w:type="dxa"/>
              <w:right w:w="29" w:type="dxa"/>
            </w:tcMar>
            <w:vAlign w:val="center"/>
            <w:hideMark/>
          </w:tcPr>
          <w:p w14:paraId="731BC66A" w14:textId="77777777" w:rsidR="00EB4D28" w:rsidRPr="00785817" w:rsidRDefault="00EB4D28" w:rsidP="0034190C">
            <w:pPr>
              <w:jc w:val="center"/>
              <w:rPr>
                <w:rFonts w:ascii="Arial Narrow" w:eastAsia="Times New Roman" w:hAnsi="Arial Narrow" w:cs="Arial"/>
                <w:sz w:val="18"/>
                <w:szCs w:val="18"/>
              </w:rPr>
            </w:pPr>
            <w:r w:rsidRPr="00785817">
              <w:rPr>
                <w:rFonts w:ascii="Arial Narrow" w:eastAsia="Times New Roman" w:hAnsi="Arial Narrow" w:cs="Arial"/>
                <w:sz w:val="18"/>
                <w:szCs w:val="18"/>
              </w:rPr>
              <w:t>Main Ethnic Group</w:t>
            </w:r>
          </w:p>
        </w:tc>
        <w:tc>
          <w:tcPr>
            <w:tcW w:w="1033" w:type="dxa"/>
            <w:vMerge w:val="restart"/>
            <w:tcBorders>
              <w:top w:val="single" w:sz="4" w:space="0" w:color="auto"/>
              <w:left w:val="nil"/>
              <w:bottom w:val="single" w:sz="4" w:space="0" w:color="auto"/>
              <w:right w:val="single" w:sz="4" w:space="0" w:color="auto"/>
            </w:tcBorders>
            <w:shd w:val="clear" w:color="auto" w:fill="E0E0E0"/>
            <w:tcMar>
              <w:left w:w="29" w:type="dxa"/>
              <w:right w:w="29" w:type="dxa"/>
            </w:tcMar>
            <w:vAlign w:val="center"/>
          </w:tcPr>
          <w:p w14:paraId="0B97D7D5" w14:textId="77777777" w:rsidR="00EB4D28" w:rsidRPr="00785817" w:rsidRDefault="00EB4D28" w:rsidP="0034190C">
            <w:pPr>
              <w:jc w:val="center"/>
              <w:rPr>
                <w:rFonts w:ascii="Arial Narrow" w:eastAsia="Times New Roman" w:hAnsi="Arial Narrow" w:cs="Arial"/>
                <w:sz w:val="18"/>
                <w:szCs w:val="18"/>
              </w:rPr>
            </w:pPr>
            <w:r w:rsidRPr="00785817">
              <w:rPr>
                <w:rFonts w:ascii="Arial Narrow" w:eastAsia="Times New Roman" w:hAnsi="Arial Narrow" w:cs="Arial"/>
                <w:sz w:val="18"/>
                <w:szCs w:val="18"/>
              </w:rPr>
              <w:t>WASH Focal Point Agency</w:t>
            </w:r>
          </w:p>
        </w:tc>
        <w:tc>
          <w:tcPr>
            <w:tcW w:w="1601" w:type="dxa"/>
            <w:gridSpan w:val="2"/>
            <w:tcBorders>
              <w:top w:val="single" w:sz="4" w:space="0" w:color="auto"/>
              <w:left w:val="single" w:sz="4" w:space="0" w:color="auto"/>
              <w:bottom w:val="single" w:sz="4" w:space="0" w:color="auto"/>
              <w:right w:val="single" w:sz="4" w:space="0" w:color="auto"/>
            </w:tcBorders>
            <w:shd w:val="clear" w:color="auto" w:fill="E0E0E0"/>
            <w:tcMar>
              <w:left w:w="29" w:type="dxa"/>
              <w:right w:w="29" w:type="dxa"/>
            </w:tcMar>
            <w:vAlign w:val="center"/>
            <w:hideMark/>
          </w:tcPr>
          <w:p w14:paraId="5B3FBBA7" w14:textId="77777777" w:rsidR="00EB4D28" w:rsidRPr="00785817" w:rsidRDefault="00EB4D28" w:rsidP="0034190C">
            <w:pPr>
              <w:jc w:val="center"/>
              <w:rPr>
                <w:rFonts w:ascii="Arial Narrow" w:eastAsia="Times New Roman" w:hAnsi="Arial Narrow" w:cs="Arial"/>
                <w:sz w:val="18"/>
                <w:szCs w:val="18"/>
              </w:rPr>
            </w:pPr>
            <w:r w:rsidRPr="00785817">
              <w:rPr>
                <w:rFonts w:ascii="Arial Narrow" w:eastAsia="Times New Roman" w:hAnsi="Arial Narrow" w:cs="Arial"/>
                <w:sz w:val="18"/>
                <w:szCs w:val="18"/>
              </w:rPr>
              <w:t>Target Population</w:t>
            </w:r>
          </w:p>
        </w:tc>
        <w:tc>
          <w:tcPr>
            <w:tcW w:w="1350" w:type="dxa"/>
            <w:gridSpan w:val="2"/>
            <w:vMerge w:val="restart"/>
            <w:tcBorders>
              <w:top w:val="single" w:sz="4" w:space="0" w:color="auto"/>
              <w:left w:val="single" w:sz="4" w:space="0" w:color="auto"/>
              <w:bottom w:val="single" w:sz="4" w:space="0" w:color="000000"/>
              <w:right w:val="single" w:sz="4" w:space="0" w:color="000000"/>
            </w:tcBorders>
            <w:shd w:val="clear" w:color="auto" w:fill="E0E0E0"/>
            <w:tcMar>
              <w:left w:w="29" w:type="dxa"/>
              <w:right w:w="29" w:type="dxa"/>
            </w:tcMar>
            <w:vAlign w:val="center"/>
            <w:hideMark/>
          </w:tcPr>
          <w:p w14:paraId="56C10C2D" w14:textId="77777777" w:rsidR="00C144FE" w:rsidRDefault="00EB4D28" w:rsidP="0034190C">
            <w:pPr>
              <w:jc w:val="center"/>
              <w:rPr>
                <w:rFonts w:ascii="Arial Narrow" w:eastAsia="Times New Roman" w:hAnsi="Arial Narrow" w:cs="Arial"/>
                <w:sz w:val="18"/>
                <w:szCs w:val="18"/>
              </w:rPr>
            </w:pPr>
            <w:r w:rsidRPr="00785817">
              <w:rPr>
                <w:rFonts w:ascii="Arial Narrow" w:eastAsia="Times New Roman" w:hAnsi="Arial Narrow" w:cs="Arial"/>
                <w:sz w:val="18"/>
                <w:szCs w:val="18"/>
              </w:rPr>
              <w:t xml:space="preserve">Number of </w:t>
            </w:r>
          </w:p>
          <w:p w14:paraId="370ED521" w14:textId="71982273" w:rsidR="00EB4D28" w:rsidRPr="00785817" w:rsidRDefault="00C144FE" w:rsidP="0034190C">
            <w:pPr>
              <w:jc w:val="center"/>
              <w:rPr>
                <w:rFonts w:ascii="Arial Narrow" w:eastAsia="Times New Roman" w:hAnsi="Arial Narrow" w:cs="Arial"/>
                <w:sz w:val="18"/>
                <w:szCs w:val="18"/>
              </w:rPr>
            </w:pPr>
            <w:r>
              <w:rPr>
                <w:rFonts w:ascii="Arial Narrow" w:eastAsia="Times New Roman" w:hAnsi="Arial Narrow" w:cs="Arial"/>
                <w:sz w:val="18"/>
                <w:szCs w:val="18"/>
              </w:rPr>
              <w:t xml:space="preserve">KAP </w:t>
            </w:r>
            <w:r w:rsidR="00EB4D28" w:rsidRPr="00785817">
              <w:rPr>
                <w:rFonts w:ascii="Arial Narrow" w:eastAsia="Times New Roman" w:hAnsi="Arial Narrow" w:cs="Arial"/>
                <w:sz w:val="18"/>
                <w:szCs w:val="18"/>
              </w:rPr>
              <w:t>Surveys</w:t>
            </w:r>
          </w:p>
        </w:tc>
      </w:tr>
      <w:tr w:rsidR="00EB4D28" w:rsidRPr="00785817" w14:paraId="6C14260B" w14:textId="77777777" w:rsidTr="00785817">
        <w:trPr>
          <w:trHeight w:val="350"/>
        </w:trPr>
        <w:tc>
          <w:tcPr>
            <w:tcW w:w="422" w:type="dxa"/>
            <w:tcBorders>
              <w:top w:val="nil"/>
              <w:left w:val="nil"/>
              <w:bottom w:val="nil"/>
              <w:right w:val="nil"/>
            </w:tcBorders>
            <w:shd w:val="clear" w:color="auto" w:fill="auto"/>
            <w:noWrap/>
            <w:vAlign w:val="center"/>
            <w:hideMark/>
          </w:tcPr>
          <w:p w14:paraId="2A4779BF" w14:textId="77777777" w:rsidR="00EB4D28" w:rsidRPr="00785817" w:rsidRDefault="00EB4D28" w:rsidP="0034190C">
            <w:pPr>
              <w:rPr>
                <w:rFonts w:ascii="Arial Narrow" w:eastAsia="Times New Roman" w:hAnsi="Arial Narrow" w:cs="Arial"/>
                <w:sz w:val="18"/>
                <w:szCs w:val="18"/>
              </w:rPr>
            </w:pPr>
          </w:p>
        </w:tc>
        <w:tc>
          <w:tcPr>
            <w:tcW w:w="2079" w:type="dxa"/>
            <w:vMerge/>
            <w:tcBorders>
              <w:top w:val="single" w:sz="4" w:space="0" w:color="auto"/>
              <w:left w:val="single" w:sz="4" w:space="0" w:color="auto"/>
              <w:bottom w:val="single" w:sz="4" w:space="0" w:color="000000"/>
            </w:tcBorders>
            <w:shd w:val="clear" w:color="auto" w:fill="E0E0E0"/>
            <w:vAlign w:val="center"/>
            <w:hideMark/>
          </w:tcPr>
          <w:p w14:paraId="1316585A" w14:textId="77777777" w:rsidR="00EB4D28" w:rsidRPr="00785817" w:rsidRDefault="00EB4D28" w:rsidP="0034190C">
            <w:pPr>
              <w:rPr>
                <w:rFonts w:ascii="Arial Narrow" w:eastAsia="Times New Roman" w:hAnsi="Arial Narrow" w:cs="Arial"/>
                <w:sz w:val="18"/>
                <w:szCs w:val="18"/>
              </w:rPr>
            </w:pPr>
          </w:p>
        </w:tc>
        <w:tc>
          <w:tcPr>
            <w:tcW w:w="897" w:type="dxa"/>
            <w:vMerge/>
            <w:tcBorders>
              <w:top w:val="single" w:sz="4" w:space="0" w:color="auto"/>
              <w:bottom w:val="single" w:sz="4" w:space="0" w:color="000000"/>
              <w:right w:val="single" w:sz="4" w:space="0" w:color="auto"/>
            </w:tcBorders>
            <w:shd w:val="clear" w:color="auto" w:fill="E0E0E0"/>
            <w:vAlign w:val="center"/>
            <w:hideMark/>
          </w:tcPr>
          <w:p w14:paraId="5B481E81" w14:textId="77777777" w:rsidR="00EB4D28" w:rsidRPr="00785817" w:rsidRDefault="00EB4D28" w:rsidP="0034190C">
            <w:pPr>
              <w:rPr>
                <w:rFonts w:ascii="Arial Narrow" w:eastAsia="Times New Roman" w:hAnsi="Arial Narrow" w:cs="Arial"/>
                <w:sz w:val="18"/>
                <w:szCs w:val="18"/>
              </w:rPr>
            </w:pPr>
          </w:p>
        </w:tc>
        <w:tc>
          <w:tcPr>
            <w:tcW w:w="1076" w:type="dxa"/>
            <w:vMerge/>
            <w:tcBorders>
              <w:top w:val="single" w:sz="4" w:space="0" w:color="auto"/>
              <w:left w:val="single" w:sz="4" w:space="0" w:color="auto"/>
              <w:bottom w:val="single" w:sz="4" w:space="0" w:color="000000"/>
              <w:right w:val="single" w:sz="4" w:space="0" w:color="auto"/>
            </w:tcBorders>
            <w:shd w:val="clear" w:color="auto" w:fill="E0E0E0"/>
            <w:vAlign w:val="center"/>
            <w:hideMark/>
          </w:tcPr>
          <w:p w14:paraId="78C72256" w14:textId="77777777" w:rsidR="00EB4D28" w:rsidRPr="00785817" w:rsidRDefault="00EB4D28" w:rsidP="0034190C">
            <w:pPr>
              <w:rPr>
                <w:rFonts w:ascii="Arial Narrow" w:eastAsia="Times New Roman" w:hAnsi="Arial Narrow" w:cs="Arial"/>
                <w:sz w:val="18"/>
                <w:szCs w:val="18"/>
              </w:rPr>
            </w:pPr>
          </w:p>
        </w:tc>
        <w:tc>
          <w:tcPr>
            <w:tcW w:w="1037" w:type="dxa"/>
            <w:vMerge/>
            <w:tcBorders>
              <w:top w:val="single" w:sz="4" w:space="0" w:color="auto"/>
              <w:left w:val="single" w:sz="4" w:space="0" w:color="auto"/>
              <w:bottom w:val="single" w:sz="4" w:space="0" w:color="000000"/>
              <w:right w:val="single" w:sz="4" w:space="0" w:color="auto"/>
            </w:tcBorders>
            <w:shd w:val="clear" w:color="auto" w:fill="E0E0E0"/>
            <w:vAlign w:val="center"/>
            <w:hideMark/>
          </w:tcPr>
          <w:p w14:paraId="0A7D3787" w14:textId="77777777" w:rsidR="00EB4D28" w:rsidRPr="00785817" w:rsidRDefault="00EB4D28" w:rsidP="0034190C">
            <w:pPr>
              <w:rPr>
                <w:rFonts w:ascii="Arial Narrow" w:eastAsia="Times New Roman" w:hAnsi="Arial Narrow" w:cs="Arial"/>
                <w:sz w:val="18"/>
                <w:szCs w:val="18"/>
              </w:rPr>
            </w:pPr>
          </w:p>
        </w:tc>
        <w:tc>
          <w:tcPr>
            <w:tcW w:w="1033" w:type="dxa"/>
            <w:vMerge/>
            <w:tcBorders>
              <w:top w:val="single" w:sz="4" w:space="0" w:color="auto"/>
              <w:left w:val="nil"/>
              <w:bottom w:val="single" w:sz="4" w:space="0" w:color="auto"/>
              <w:right w:val="single" w:sz="4" w:space="0" w:color="auto"/>
            </w:tcBorders>
            <w:shd w:val="clear" w:color="auto" w:fill="E0E0E0"/>
            <w:vAlign w:val="center"/>
          </w:tcPr>
          <w:p w14:paraId="00C7FA4F" w14:textId="77777777" w:rsidR="00EB4D28" w:rsidRPr="00785817" w:rsidRDefault="00EB4D28" w:rsidP="0034190C">
            <w:pPr>
              <w:rPr>
                <w:rFonts w:ascii="Arial Narrow" w:eastAsia="Times New Roman" w:hAnsi="Arial Narrow" w:cs="Arial"/>
                <w:sz w:val="18"/>
                <w:szCs w:val="18"/>
              </w:rPr>
            </w:pPr>
          </w:p>
        </w:tc>
        <w:tc>
          <w:tcPr>
            <w:tcW w:w="791" w:type="dxa"/>
            <w:tcBorders>
              <w:top w:val="single" w:sz="4" w:space="0" w:color="auto"/>
              <w:left w:val="single" w:sz="4" w:space="0" w:color="auto"/>
              <w:bottom w:val="single" w:sz="4" w:space="0" w:color="auto"/>
              <w:right w:val="nil"/>
            </w:tcBorders>
            <w:shd w:val="clear" w:color="auto" w:fill="E0E0E0"/>
            <w:vAlign w:val="center"/>
            <w:hideMark/>
          </w:tcPr>
          <w:p w14:paraId="12DA4806" w14:textId="77777777" w:rsidR="00EB4D28" w:rsidRPr="00785817" w:rsidRDefault="00EB4D28" w:rsidP="0034190C">
            <w:pPr>
              <w:jc w:val="center"/>
              <w:rPr>
                <w:rFonts w:ascii="Arial Narrow" w:eastAsia="Times New Roman" w:hAnsi="Arial Narrow" w:cs="Arial"/>
                <w:sz w:val="18"/>
                <w:szCs w:val="18"/>
              </w:rPr>
            </w:pPr>
            <w:r w:rsidRPr="00785817">
              <w:rPr>
                <w:rFonts w:ascii="Arial Narrow" w:eastAsia="Times New Roman" w:hAnsi="Arial Narrow" w:cs="Arial"/>
                <w:sz w:val="18"/>
                <w:szCs w:val="18"/>
              </w:rPr>
              <w:t>Total</w:t>
            </w:r>
          </w:p>
        </w:tc>
        <w:tc>
          <w:tcPr>
            <w:tcW w:w="810" w:type="dxa"/>
            <w:tcBorders>
              <w:top w:val="nil"/>
              <w:left w:val="single" w:sz="4" w:space="0" w:color="auto"/>
              <w:bottom w:val="single" w:sz="4" w:space="0" w:color="auto"/>
              <w:right w:val="nil"/>
            </w:tcBorders>
            <w:shd w:val="clear" w:color="auto" w:fill="E0E0E0"/>
            <w:vAlign w:val="center"/>
            <w:hideMark/>
          </w:tcPr>
          <w:p w14:paraId="5B09BECF" w14:textId="77777777" w:rsidR="00EB4D28" w:rsidRPr="00785817" w:rsidRDefault="00EB4D28" w:rsidP="0034190C">
            <w:pPr>
              <w:jc w:val="center"/>
              <w:rPr>
                <w:rFonts w:ascii="Arial Narrow" w:eastAsia="Times New Roman" w:hAnsi="Arial Narrow" w:cs="Arial"/>
                <w:sz w:val="18"/>
                <w:szCs w:val="18"/>
              </w:rPr>
            </w:pPr>
            <w:r w:rsidRPr="00785817">
              <w:rPr>
                <w:rFonts w:ascii="Arial Narrow" w:eastAsia="Times New Roman" w:hAnsi="Arial Narrow" w:cs="Arial"/>
                <w:sz w:val="18"/>
                <w:szCs w:val="18"/>
              </w:rPr>
              <w:t>HH</w:t>
            </w:r>
          </w:p>
        </w:tc>
        <w:tc>
          <w:tcPr>
            <w:tcW w:w="1350" w:type="dxa"/>
            <w:gridSpan w:val="2"/>
            <w:vMerge/>
            <w:tcBorders>
              <w:top w:val="single" w:sz="4" w:space="0" w:color="auto"/>
              <w:left w:val="single" w:sz="4" w:space="0" w:color="auto"/>
              <w:bottom w:val="single" w:sz="4" w:space="0" w:color="000000"/>
              <w:right w:val="single" w:sz="4" w:space="0" w:color="000000"/>
            </w:tcBorders>
            <w:shd w:val="clear" w:color="auto" w:fill="E0E0E0"/>
            <w:vAlign w:val="center"/>
            <w:hideMark/>
          </w:tcPr>
          <w:p w14:paraId="1FE9EC1F" w14:textId="77777777" w:rsidR="00EB4D28" w:rsidRPr="00785817" w:rsidRDefault="00EB4D28" w:rsidP="0034190C">
            <w:pPr>
              <w:rPr>
                <w:rFonts w:ascii="Arial Narrow" w:eastAsia="Times New Roman" w:hAnsi="Arial Narrow" w:cs="Arial"/>
                <w:sz w:val="18"/>
                <w:szCs w:val="18"/>
              </w:rPr>
            </w:pPr>
          </w:p>
        </w:tc>
      </w:tr>
      <w:tr w:rsidR="00AC6CBD" w:rsidRPr="0034190C" w14:paraId="4244F2DE" w14:textId="77777777" w:rsidTr="00785817">
        <w:trPr>
          <w:trHeight w:val="360"/>
        </w:trPr>
        <w:tc>
          <w:tcPr>
            <w:tcW w:w="422" w:type="dxa"/>
            <w:tcBorders>
              <w:top w:val="nil"/>
              <w:left w:val="nil"/>
              <w:bottom w:val="nil"/>
              <w:right w:val="nil"/>
            </w:tcBorders>
            <w:shd w:val="clear" w:color="auto" w:fill="auto"/>
            <w:noWrap/>
            <w:vAlign w:val="center"/>
            <w:hideMark/>
          </w:tcPr>
          <w:p w14:paraId="5C046A75" w14:textId="77777777" w:rsidR="00AC6CBD" w:rsidRPr="0034190C" w:rsidRDefault="00AC6CBD" w:rsidP="0034190C">
            <w:pPr>
              <w:jc w:val="center"/>
              <w:rPr>
                <w:rFonts w:ascii="Arial Narrow" w:eastAsia="Times New Roman" w:hAnsi="Arial Narrow" w:cs="Arial"/>
                <w:sz w:val="16"/>
                <w:szCs w:val="16"/>
              </w:rPr>
            </w:pPr>
            <w:r w:rsidRPr="0034190C">
              <w:rPr>
                <w:rFonts w:ascii="Arial Narrow" w:eastAsia="Times New Roman" w:hAnsi="Arial Narrow" w:cs="Arial"/>
                <w:sz w:val="16"/>
                <w:szCs w:val="16"/>
              </w:rPr>
              <w:t>1</w:t>
            </w:r>
          </w:p>
        </w:tc>
        <w:tc>
          <w:tcPr>
            <w:tcW w:w="2079" w:type="dxa"/>
            <w:tcBorders>
              <w:top w:val="nil"/>
              <w:left w:val="single" w:sz="4" w:space="0" w:color="auto"/>
            </w:tcBorders>
            <w:shd w:val="clear" w:color="auto" w:fill="auto"/>
            <w:noWrap/>
            <w:vAlign w:val="center"/>
            <w:hideMark/>
          </w:tcPr>
          <w:p w14:paraId="3074EB16" w14:textId="63568FD6" w:rsidR="00AC6CBD" w:rsidRPr="0034190C" w:rsidRDefault="00AC6CBD" w:rsidP="00D32176">
            <w:pPr>
              <w:jc w:val="right"/>
              <w:rPr>
                <w:rFonts w:ascii="Arial Narrow" w:eastAsia="Times New Roman" w:hAnsi="Arial Narrow" w:cs="Arial"/>
                <w:sz w:val="18"/>
                <w:szCs w:val="18"/>
              </w:rPr>
            </w:pPr>
            <w:r w:rsidRPr="0034190C">
              <w:rPr>
                <w:rFonts w:ascii="Arial Narrow" w:eastAsia="Times New Roman" w:hAnsi="Arial Narrow" w:cs="Arial"/>
                <w:sz w:val="18"/>
                <w:szCs w:val="18"/>
              </w:rPr>
              <w:t>Dar Pai</w:t>
            </w:r>
            <w:r w:rsidR="00D25FEF">
              <w:rPr>
                <w:rFonts w:ascii="Arial Narrow" w:eastAsia="Times New Roman" w:hAnsi="Arial Narrow" w:cs="Arial"/>
                <w:sz w:val="18"/>
                <w:szCs w:val="18"/>
              </w:rPr>
              <w:t>ng</w:t>
            </w:r>
          </w:p>
        </w:tc>
        <w:tc>
          <w:tcPr>
            <w:tcW w:w="897" w:type="dxa"/>
            <w:tcBorders>
              <w:top w:val="nil"/>
              <w:right w:val="single" w:sz="4" w:space="0" w:color="auto"/>
            </w:tcBorders>
            <w:shd w:val="clear" w:color="auto" w:fill="auto"/>
            <w:noWrap/>
            <w:vAlign w:val="center"/>
            <w:hideMark/>
          </w:tcPr>
          <w:p w14:paraId="106B8A01"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DP</w:t>
            </w:r>
          </w:p>
        </w:tc>
        <w:tc>
          <w:tcPr>
            <w:tcW w:w="1076"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14:paraId="089A0822" w14:textId="5D852565"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IDP Camp</w:t>
            </w:r>
            <w:r>
              <w:rPr>
                <w:rFonts w:ascii="Arial Narrow" w:eastAsia="Times New Roman" w:hAnsi="Arial Narrow" w:cs="Arial"/>
                <w:sz w:val="18"/>
                <w:szCs w:val="18"/>
              </w:rPr>
              <w:t>s</w:t>
            </w:r>
          </w:p>
        </w:tc>
        <w:tc>
          <w:tcPr>
            <w:tcW w:w="1037" w:type="dxa"/>
            <w:tcBorders>
              <w:top w:val="single" w:sz="4" w:space="0" w:color="000000"/>
              <w:left w:val="nil"/>
              <w:right w:val="single" w:sz="4" w:space="0" w:color="auto"/>
            </w:tcBorders>
            <w:shd w:val="clear" w:color="000000" w:fill="auto"/>
            <w:noWrap/>
            <w:vAlign w:val="center"/>
            <w:hideMark/>
          </w:tcPr>
          <w:p w14:paraId="1836A392"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top w:val="single" w:sz="4" w:space="0" w:color="auto"/>
              <w:left w:val="nil"/>
              <w:right w:val="single" w:sz="4" w:space="0" w:color="auto"/>
            </w:tcBorders>
            <w:vAlign w:val="center"/>
          </w:tcPr>
          <w:p w14:paraId="032DD9C1"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SI</w:t>
            </w:r>
          </w:p>
        </w:tc>
        <w:tc>
          <w:tcPr>
            <w:tcW w:w="791" w:type="dxa"/>
            <w:tcBorders>
              <w:top w:val="single" w:sz="4" w:space="0" w:color="auto"/>
              <w:left w:val="single" w:sz="4" w:space="0" w:color="auto"/>
              <w:right w:val="single" w:sz="4" w:space="0" w:color="auto"/>
            </w:tcBorders>
            <w:shd w:val="clear" w:color="auto" w:fill="auto"/>
            <w:noWrap/>
            <w:vAlign w:val="center"/>
            <w:hideMark/>
          </w:tcPr>
          <w:p w14:paraId="1107800E"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10,663 </w:t>
            </w:r>
          </w:p>
        </w:tc>
        <w:tc>
          <w:tcPr>
            <w:tcW w:w="810" w:type="dxa"/>
            <w:tcBorders>
              <w:top w:val="nil"/>
              <w:left w:val="nil"/>
              <w:right w:val="single" w:sz="4" w:space="0" w:color="auto"/>
            </w:tcBorders>
            <w:shd w:val="clear" w:color="auto" w:fill="auto"/>
            <w:noWrap/>
            <w:vAlign w:val="center"/>
            <w:hideMark/>
          </w:tcPr>
          <w:p w14:paraId="67C862BE"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1,939</w:t>
            </w:r>
          </w:p>
        </w:tc>
        <w:tc>
          <w:tcPr>
            <w:tcW w:w="630" w:type="dxa"/>
            <w:tcBorders>
              <w:top w:val="nil"/>
              <w:left w:val="nil"/>
              <w:right w:val="single" w:sz="4" w:space="0" w:color="auto"/>
            </w:tcBorders>
            <w:shd w:val="clear" w:color="auto" w:fill="auto"/>
            <w:noWrap/>
            <w:vAlign w:val="center"/>
            <w:hideMark/>
          </w:tcPr>
          <w:p w14:paraId="0D80F2B6" w14:textId="77777777" w:rsidR="00AC6CBD" w:rsidRPr="0034190C" w:rsidRDefault="00AC6CBD" w:rsidP="0034190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38</w:t>
            </w:r>
          </w:p>
        </w:tc>
        <w:tc>
          <w:tcPr>
            <w:tcW w:w="720" w:type="dxa"/>
            <w:vMerge w:val="restart"/>
            <w:tcBorders>
              <w:top w:val="nil"/>
              <w:left w:val="single" w:sz="4" w:space="0" w:color="auto"/>
              <w:right w:val="single" w:sz="4" w:space="0" w:color="auto"/>
            </w:tcBorders>
            <w:shd w:val="clear" w:color="auto" w:fill="auto"/>
            <w:noWrap/>
            <w:vAlign w:val="center"/>
            <w:hideMark/>
          </w:tcPr>
          <w:p w14:paraId="26EBE1DF" w14:textId="77777777" w:rsidR="00AC6CBD" w:rsidRPr="005D5411" w:rsidRDefault="00AC6CBD" w:rsidP="0034190C">
            <w:pPr>
              <w:jc w:val="center"/>
              <w:rPr>
                <w:rFonts w:ascii="Arial Narrow" w:eastAsia="Times New Roman" w:hAnsi="Arial Narrow" w:cs="Arial"/>
                <w:b/>
                <w:sz w:val="18"/>
                <w:szCs w:val="18"/>
              </w:rPr>
            </w:pPr>
            <w:r w:rsidRPr="005D5411">
              <w:rPr>
                <w:rFonts w:ascii="Arial Narrow" w:eastAsia="Times New Roman" w:hAnsi="Arial Narrow" w:cs="Arial"/>
                <w:b/>
                <w:sz w:val="18"/>
                <w:szCs w:val="18"/>
              </w:rPr>
              <w:t>245</w:t>
            </w:r>
          </w:p>
        </w:tc>
      </w:tr>
      <w:tr w:rsidR="00AC6CBD" w:rsidRPr="0034190C" w14:paraId="0194F5EE" w14:textId="77777777" w:rsidTr="00785817">
        <w:trPr>
          <w:trHeight w:val="360"/>
        </w:trPr>
        <w:tc>
          <w:tcPr>
            <w:tcW w:w="422" w:type="dxa"/>
            <w:tcBorders>
              <w:top w:val="nil"/>
              <w:left w:val="nil"/>
              <w:bottom w:val="nil"/>
              <w:right w:val="nil"/>
            </w:tcBorders>
            <w:shd w:val="clear" w:color="auto" w:fill="auto"/>
            <w:noWrap/>
            <w:vAlign w:val="center"/>
            <w:hideMark/>
          </w:tcPr>
          <w:p w14:paraId="6A25F3BB" w14:textId="77777777" w:rsidR="00AC6CBD" w:rsidRPr="0034190C" w:rsidRDefault="00AC6CBD" w:rsidP="0034190C">
            <w:pPr>
              <w:jc w:val="center"/>
              <w:rPr>
                <w:rFonts w:ascii="Arial Narrow" w:eastAsia="Times New Roman" w:hAnsi="Arial Narrow" w:cs="Arial"/>
                <w:sz w:val="16"/>
                <w:szCs w:val="16"/>
              </w:rPr>
            </w:pPr>
            <w:r w:rsidRPr="0034190C">
              <w:rPr>
                <w:rFonts w:ascii="Arial Narrow" w:eastAsia="Times New Roman" w:hAnsi="Arial Narrow" w:cs="Arial"/>
                <w:sz w:val="16"/>
                <w:szCs w:val="16"/>
              </w:rPr>
              <w:t>2</w:t>
            </w:r>
          </w:p>
        </w:tc>
        <w:tc>
          <w:tcPr>
            <w:tcW w:w="2079" w:type="dxa"/>
            <w:tcBorders>
              <w:left w:val="single" w:sz="4" w:space="0" w:color="auto"/>
            </w:tcBorders>
            <w:shd w:val="clear" w:color="auto" w:fill="auto"/>
            <w:noWrap/>
            <w:vAlign w:val="center"/>
            <w:hideMark/>
          </w:tcPr>
          <w:p w14:paraId="4D0438E8" w14:textId="35D91064" w:rsidR="00AC6CBD" w:rsidRPr="0034190C" w:rsidRDefault="00D25FEF" w:rsidP="00D32176">
            <w:pPr>
              <w:jc w:val="right"/>
              <w:rPr>
                <w:rFonts w:ascii="Arial Narrow" w:eastAsia="Times New Roman" w:hAnsi="Arial Narrow" w:cs="Arial"/>
                <w:sz w:val="18"/>
                <w:szCs w:val="18"/>
              </w:rPr>
            </w:pPr>
            <w:r>
              <w:rPr>
                <w:rFonts w:ascii="Arial Narrow" w:eastAsia="Times New Roman" w:hAnsi="Arial Narrow" w:cs="Arial"/>
                <w:sz w:val="18"/>
                <w:szCs w:val="18"/>
              </w:rPr>
              <w:t>Teh</w:t>
            </w:r>
            <w:r w:rsidR="00AC6CBD" w:rsidRPr="0034190C">
              <w:rPr>
                <w:rFonts w:ascii="Arial Narrow" w:eastAsia="Times New Roman" w:hAnsi="Arial Narrow" w:cs="Arial"/>
                <w:sz w:val="18"/>
                <w:szCs w:val="18"/>
              </w:rPr>
              <w:t xml:space="preserve"> Chaung</w:t>
            </w:r>
          </w:p>
        </w:tc>
        <w:tc>
          <w:tcPr>
            <w:tcW w:w="897" w:type="dxa"/>
            <w:tcBorders>
              <w:right w:val="single" w:sz="4" w:space="0" w:color="auto"/>
            </w:tcBorders>
            <w:shd w:val="clear" w:color="auto" w:fill="auto"/>
            <w:noWrap/>
            <w:vAlign w:val="center"/>
            <w:hideMark/>
          </w:tcPr>
          <w:p w14:paraId="3607EC4E"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TC</w:t>
            </w:r>
          </w:p>
        </w:tc>
        <w:tc>
          <w:tcPr>
            <w:tcW w:w="1076" w:type="dxa"/>
            <w:vMerge/>
            <w:tcBorders>
              <w:left w:val="single" w:sz="4" w:space="0" w:color="auto"/>
              <w:bottom w:val="single" w:sz="4" w:space="0" w:color="auto"/>
              <w:right w:val="single" w:sz="4" w:space="0" w:color="auto"/>
            </w:tcBorders>
            <w:vAlign w:val="center"/>
            <w:hideMark/>
          </w:tcPr>
          <w:p w14:paraId="690145E0" w14:textId="77777777" w:rsidR="00AC6CBD" w:rsidRPr="0034190C" w:rsidRDefault="00AC6CBD" w:rsidP="0034190C">
            <w:pPr>
              <w:rPr>
                <w:rFonts w:ascii="Arial Narrow" w:eastAsia="Times New Roman" w:hAnsi="Arial Narrow" w:cs="Arial"/>
                <w:sz w:val="18"/>
                <w:szCs w:val="18"/>
              </w:rPr>
            </w:pPr>
          </w:p>
        </w:tc>
        <w:tc>
          <w:tcPr>
            <w:tcW w:w="1037" w:type="dxa"/>
            <w:tcBorders>
              <w:left w:val="nil"/>
              <w:right w:val="single" w:sz="4" w:space="0" w:color="auto"/>
            </w:tcBorders>
            <w:shd w:val="clear" w:color="000000" w:fill="auto"/>
            <w:noWrap/>
            <w:vAlign w:val="center"/>
            <w:hideMark/>
          </w:tcPr>
          <w:p w14:paraId="70E27E89"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left w:val="nil"/>
              <w:right w:val="single" w:sz="4" w:space="0" w:color="auto"/>
            </w:tcBorders>
            <w:vAlign w:val="center"/>
          </w:tcPr>
          <w:p w14:paraId="3C1D37A5"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SI</w:t>
            </w:r>
          </w:p>
        </w:tc>
        <w:tc>
          <w:tcPr>
            <w:tcW w:w="791" w:type="dxa"/>
            <w:tcBorders>
              <w:left w:val="single" w:sz="4" w:space="0" w:color="auto"/>
              <w:right w:val="single" w:sz="4" w:space="0" w:color="auto"/>
            </w:tcBorders>
            <w:shd w:val="clear" w:color="auto" w:fill="auto"/>
            <w:noWrap/>
            <w:vAlign w:val="center"/>
            <w:hideMark/>
          </w:tcPr>
          <w:p w14:paraId="47EC81BE"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5,446 </w:t>
            </w:r>
          </w:p>
        </w:tc>
        <w:tc>
          <w:tcPr>
            <w:tcW w:w="810" w:type="dxa"/>
            <w:tcBorders>
              <w:left w:val="nil"/>
              <w:right w:val="single" w:sz="4" w:space="0" w:color="auto"/>
            </w:tcBorders>
            <w:shd w:val="clear" w:color="auto" w:fill="auto"/>
            <w:noWrap/>
            <w:vAlign w:val="center"/>
            <w:hideMark/>
          </w:tcPr>
          <w:p w14:paraId="573A36D4"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990</w:t>
            </w:r>
          </w:p>
        </w:tc>
        <w:tc>
          <w:tcPr>
            <w:tcW w:w="630" w:type="dxa"/>
            <w:tcBorders>
              <w:left w:val="nil"/>
              <w:right w:val="single" w:sz="4" w:space="0" w:color="auto"/>
            </w:tcBorders>
            <w:shd w:val="clear" w:color="auto" w:fill="auto"/>
            <w:noWrap/>
            <w:vAlign w:val="center"/>
            <w:hideMark/>
          </w:tcPr>
          <w:p w14:paraId="6F5656ED" w14:textId="77777777" w:rsidR="00AC6CBD" w:rsidRPr="0034190C" w:rsidRDefault="00AC6CBD" w:rsidP="0034190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19</w:t>
            </w:r>
          </w:p>
        </w:tc>
        <w:tc>
          <w:tcPr>
            <w:tcW w:w="720" w:type="dxa"/>
            <w:vMerge/>
            <w:tcBorders>
              <w:left w:val="single" w:sz="4" w:space="0" w:color="auto"/>
              <w:right w:val="single" w:sz="4" w:space="0" w:color="auto"/>
            </w:tcBorders>
            <w:vAlign w:val="center"/>
            <w:hideMark/>
          </w:tcPr>
          <w:p w14:paraId="5E51C239" w14:textId="77777777" w:rsidR="00AC6CBD" w:rsidRPr="005D5411" w:rsidRDefault="00AC6CBD" w:rsidP="0034190C">
            <w:pPr>
              <w:rPr>
                <w:rFonts w:ascii="Arial Narrow" w:eastAsia="Times New Roman" w:hAnsi="Arial Narrow" w:cs="Arial"/>
                <w:b/>
                <w:sz w:val="18"/>
                <w:szCs w:val="18"/>
              </w:rPr>
            </w:pPr>
          </w:p>
        </w:tc>
      </w:tr>
      <w:tr w:rsidR="00AC6CBD" w:rsidRPr="0034190C" w14:paraId="3ECD63D8" w14:textId="77777777" w:rsidTr="00785817">
        <w:trPr>
          <w:trHeight w:val="360"/>
        </w:trPr>
        <w:tc>
          <w:tcPr>
            <w:tcW w:w="422" w:type="dxa"/>
            <w:tcBorders>
              <w:top w:val="nil"/>
              <w:left w:val="nil"/>
              <w:bottom w:val="nil"/>
              <w:right w:val="nil"/>
            </w:tcBorders>
            <w:shd w:val="clear" w:color="auto" w:fill="auto"/>
            <w:noWrap/>
            <w:vAlign w:val="center"/>
            <w:hideMark/>
          </w:tcPr>
          <w:p w14:paraId="4AAB4A2E" w14:textId="77777777" w:rsidR="00AC6CBD" w:rsidRPr="0034190C" w:rsidRDefault="00AC6CBD" w:rsidP="0034190C">
            <w:pPr>
              <w:jc w:val="center"/>
              <w:rPr>
                <w:rFonts w:ascii="Arial Narrow" w:eastAsia="Times New Roman" w:hAnsi="Arial Narrow" w:cs="Arial"/>
                <w:sz w:val="16"/>
                <w:szCs w:val="16"/>
              </w:rPr>
            </w:pPr>
            <w:r w:rsidRPr="0034190C">
              <w:rPr>
                <w:rFonts w:ascii="Arial Narrow" w:eastAsia="Times New Roman" w:hAnsi="Arial Narrow" w:cs="Arial"/>
                <w:sz w:val="16"/>
                <w:szCs w:val="16"/>
              </w:rPr>
              <w:t>3</w:t>
            </w:r>
          </w:p>
        </w:tc>
        <w:tc>
          <w:tcPr>
            <w:tcW w:w="2079" w:type="dxa"/>
            <w:tcBorders>
              <w:left w:val="single" w:sz="4" w:space="0" w:color="auto"/>
            </w:tcBorders>
            <w:shd w:val="clear" w:color="auto" w:fill="auto"/>
            <w:noWrap/>
            <w:vAlign w:val="center"/>
            <w:hideMark/>
          </w:tcPr>
          <w:p w14:paraId="2849B2AF" w14:textId="77777777" w:rsidR="00AC6CBD" w:rsidRPr="0034190C" w:rsidRDefault="00AC6CBD" w:rsidP="00D32176">
            <w:pPr>
              <w:jc w:val="right"/>
              <w:rPr>
                <w:rFonts w:ascii="Arial Narrow" w:eastAsia="Times New Roman" w:hAnsi="Arial Narrow" w:cs="Arial"/>
                <w:sz w:val="18"/>
                <w:szCs w:val="18"/>
              </w:rPr>
            </w:pPr>
            <w:r w:rsidRPr="0034190C">
              <w:rPr>
                <w:rFonts w:ascii="Arial Narrow" w:eastAsia="Times New Roman" w:hAnsi="Arial Narrow" w:cs="Arial"/>
                <w:sz w:val="18"/>
                <w:szCs w:val="18"/>
              </w:rPr>
              <w:t>Baw Du Pha</w:t>
            </w:r>
          </w:p>
        </w:tc>
        <w:tc>
          <w:tcPr>
            <w:tcW w:w="897" w:type="dxa"/>
            <w:tcBorders>
              <w:right w:val="single" w:sz="4" w:space="0" w:color="auto"/>
            </w:tcBorders>
            <w:shd w:val="clear" w:color="auto" w:fill="auto"/>
            <w:noWrap/>
            <w:vAlign w:val="center"/>
            <w:hideMark/>
          </w:tcPr>
          <w:p w14:paraId="2E58BF10"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BDP</w:t>
            </w:r>
          </w:p>
        </w:tc>
        <w:tc>
          <w:tcPr>
            <w:tcW w:w="1076" w:type="dxa"/>
            <w:vMerge/>
            <w:tcBorders>
              <w:left w:val="single" w:sz="4" w:space="0" w:color="auto"/>
              <w:bottom w:val="single" w:sz="4" w:space="0" w:color="auto"/>
              <w:right w:val="single" w:sz="4" w:space="0" w:color="auto"/>
            </w:tcBorders>
            <w:vAlign w:val="center"/>
            <w:hideMark/>
          </w:tcPr>
          <w:p w14:paraId="1DA69A56" w14:textId="77777777" w:rsidR="00AC6CBD" w:rsidRPr="0034190C" w:rsidRDefault="00AC6CBD" w:rsidP="0034190C">
            <w:pPr>
              <w:rPr>
                <w:rFonts w:ascii="Arial Narrow" w:eastAsia="Times New Roman" w:hAnsi="Arial Narrow" w:cs="Arial"/>
                <w:sz w:val="18"/>
                <w:szCs w:val="18"/>
              </w:rPr>
            </w:pPr>
          </w:p>
        </w:tc>
        <w:tc>
          <w:tcPr>
            <w:tcW w:w="1037" w:type="dxa"/>
            <w:tcBorders>
              <w:left w:val="nil"/>
              <w:right w:val="single" w:sz="4" w:space="0" w:color="auto"/>
            </w:tcBorders>
            <w:shd w:val="clear" w:color="000000" w:fill="auto"/>
            <w:noWrap/>
            <w:vAlign w:val="center"/>
            <w:hideMark/>
          </w:tcPr>
          <w:p w14:paraId="1B7BA0B3"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left w:val="nil"/>
              <w:right w:val="single" w:sz="4" w:space="0" w:color="auto"/>
            </w:tcBorders>
            <w:vAlign w:val="center"/>
          </w:tcPr>
          <w:p w14:paraId="70D0A321"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SI</w:t>
            </w:r>
          </w:p>
        </w:tc>
        <w:tc>
          <w:tcPr>
            <w:tcW w:w="791" w:type="dxa"/>
            <w:tcBorders>
              <w:left w:val="single" w:sz="4" w:space="0" w:color="auto"/>
              <w:right w:val="single" w:sz="4" w:space="0" w:color="auto"/>
            </w:tcBorders>
            <w:shd w:val="clear" w:color="auto" w:fill="auto"/>
            <w:noWrap/>
            <w:vAlign w:val="center"/>
            <w:hideMark/>
          </w:tcPr>
          <w:p w14:paraId="0F0F1A5C"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10,827 </w:t>
            </w:r>
          </w:p>
        </w:tc>
        <w:tc>
          <w:tcPr>
            <w:tcW w:w="810" w:type="dxa"/>
            <w:tcBorders>
              <w:left w:val="nil"/>
              <w:right w:val="single" w:sz="4" w:space="0" w:color="auto"/>
            </w:tcBorders>
            <w:shd w:val="clear" w:color="auto" w:fill="auto"/>
            <w:noWrap/>
            <w:vAlign w:val="center"/>
            <w:hideMark/>
          </w:tcPr>
          <w:p w14:paraId="5172E827"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1,969</w:t>
            </w:r>
          </w:p>
        </w:tc>
        <w:tc>
          <w:tcPr>
            <w:tcW w:w="630" w:type="dxa"/>
            <w:tcBorders>
              <w:left w:val="nil"/>
              <w:right w:val="single" w:sz="4" w:space="0" w:color="auto"/>
            </w:tcBorders>
            <w:shd w:val="clear" w:color="auto" w:fill="auto"/>
            <w:noWrap/>
            <w:vAlign w:val="center"/>
            <w:hideMark/>
          </w:tcPr>
          <w:p w14:paraId="40410ADE" w14:textId="77777777" w:rsidR="00AC6CBD" w:rsidRPr="0034190C" w:rsidRDefault="00AC6CBD" w:rsidP="0034190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40</w:t>
            </w:r>
          </w:p>
        </w:tc>
        <w:tc>
          <w:tcPr>
            <w:tcW w:w="720" w:type="dxa"/>
            <w:vMerge/>
            <w:tcBorders>
              <w:left w:val="single" w:sz="4" w:space="0" w:color="auto"/>
              <w:right w:val="single" w:sz="4" w:space="0" w:color="auto"/>
            </w:tcBorders>
            <w:vAlign w:val="center"/>
            <w:hideMark/>
          </w:tcPr>
          <w:p w14:paraId="1A4AB34D" w14:textId="77777777" w:rsidR="00AC6CBD" w:rsidRPr="005D5411" w:rsidRDefault="00AC6CBD" w:rsidP="0034190C">
            <w:pPr>
              <w:rPr>
                <w:rFonts w:ascii="Arial Narrow" w:eastAsia="Times New Roman" w:hAnsi="Arial Narrow" w:cs="Arial"/>
                <w:b/>
                <w:sz w:val="18"/>
                <w:szCs w:val="18"/>
              </w:rPr>
            </w:pPr>
          </w:p>
        </w:tc>
      </w:tr>
      <w:tr w:rsidR="00AC6CBD" w:rsidRPr="0034190C" w14:paraId="353E6D34" w14:textId="77777777" w:rsidTr="00785817">
        <w:trPr>
          <w:trHeight w:val="360"/>
        </w:trPr>
        <w:tc>
          <w:tcPr>
            <w:tcW w:w="422" w:type="dxa"/>
            <w:tcBorders>
              <w:top w:val="nil"/>
              <w:left w:val="nil"/>
              <w:bottom w:val="nil"/>
              <w:right w:val="nil"/>
            </w:tcBorders>
            <w:shd w:val="clear" w:color="auto" w:fill="auto"/>
            <w:noWrap/>
            <w:vAlign w:val="center"/>
            <w:hideMark/>
          </w:tcPr>
          <w:p w14:paraId="687C2B42" w14:textId="77777777" w:rsidR="00AC6CBD" w:rsidRPr="0034190C" w:rsidRDefault="00AC6CBD" w:rsidP="0034190C">
            <w:pPr>
              <w:jc w:val="center"/>
              <w:rPr>
                <w:rFonts w:ascii="Arial Narrow" w:eastAsia="Times New Roman" w:hAnsi="Arial Narrow" w:cs="Arial"/>
                <w:sz w:val="16"/>
                <w:szCs w:val="16"/>
              </w:rPr>
            </w:pPr>
            <w:r w:rsidRPr="0034190C">
              <w:rPr>
                <w:rFonts w:ascii="Arial Narrow" w:eastAsia="Times New Roman" w:hAnsi="Arial Narrow" w:cs="Arial"/>
                <w:sz w:val="16"/>
                <w:szCs w:val="16"/>
              </w:rPr>
              <w:t>4</w:t>
            </w:r>
          </w:p>
        </w:tc>
        <w:tc>
          <w:tcPr>
            <w:tcW w:w="2079" w:type="dxa"/>
            <w:tcBorders>
              <w:left w:val="single" w:sz="4" w:space="0" w:color="auto"/>
            </w:tcBorders>
            <w:shd w:val="clear" w:color="auto" w:fill="auto"/>
            <w:noWrap/>
            <w:vAlign w:val="center"/>
            <w:hideMark/>
          </w:tcPr>
          <w:p w14:paraId="7E94825A" w14:textId="77777777" w:rsidR="00AC6CBD" w:rsidRPr="0034190C" w:rsidRDefault="00AC6CBD" w:rsidP="00D32176">
            <w:pPr>
              <w:jc w:val="right"/>
              <w:rPr>
                <w:rFonts w:ascii="Arial Narrow" w:eastAsia="Times New Roman" w:hAnsi="Arial Narrow" w:cs="Arial"/>
                <w:sz w:val="18"/>
                <w:szCs w:val="18"/>
              </w:rPr>
            </w:pPr>
            <w:r w:rsidRPr="0034190C">
              <w:rPr>
                <w:rFonts w:ascii="Arial Narrow" w:eastAsia="Times New Roman" w:hAnsi="Arial Narrow" w:cs="Arial"/>
                <w:sz w:val="18"/>
                <w:szCs w:val="18"/>
              </w:rPr>
              <w:t>Hmansi</w:t>
            </w:r>
          </w:p>
        </w:tc>
        <w:tc>
          <w:tcPr>
            <w:tcW w:w="897" w:type="dxa"/>
            <w:tcBorders>
              <w:right w:val="single" w:sz="4" w:space="0" w:color="auto"/>
            </w:tcBorders>
            <w:shd w:val="clear" w:color="auto" w:fill="auto"/>
            <w:noWrap/>
            <w:vAlign w:val="center"/>
            <w:hideMark/>
          </w:tcPr>
          <w:p w14:paraId="2259AECF"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HMZ</w:t>
            </w:r>
          </w:p>
        </w:tc>
        <w:tc>
          <w:tcPr>
            <w:tcW w:w="1076" w:type="dxa"/>
            <w:vMerge/>
            <w:tcBorders>
              <w:left w:val="single" w:sz="4" w:space="0" w:color="auto"/>
              <w:bottom w:val="single" w:sz="4" w:space="0" w:color="auto"/>
              <w:right w:val="single" w:sz="4" w:space="0" w:color="auto"/>
            </w:tcBorders>
            <w:vAlign w:val="center"/>
            <w:hideMark/>
          </w:tcPr>
          <w:p w14:paraId="6593F544" w14:textId="77777777" w:rsidR="00AC6CBD" w:rsidRPr="0034190C" w:rsidRDefault="00AC6CBD" w:rsidP="0034190C">
            <w:pPr>
              <w:rPr>
                <w:rFonts w:ascii="Arial Narrow" w:eastAsia="Times New Roman" w:hAnsi="Arial Narrow" w:cs="Arial"/>
                <w:sz w:val="18"/>
                <w:szCs w:val="18"/>
              </w:rPr>
            </w:pPr>
          </w:p>
        </w:tc>
        <w:tc>
          <w:tcPr>
            <w:tcW w:w="1037" w:type="dxa"/>
            <w:tcBorders>
              <w:left w:val="nil"/>
              <w:right w:val="single" w:sz="4" w:space="0" w:color="auto"/>
            </w:tcBorders>
            <w:shd w:val="clear" w:color="000000" w:fill="auto"/>
            <w:noWrap/>
            <w:vAlign w:val="center"/>
            <w:hideMark/>
          </w:tcPr>
          <w:p w14:paraId="78352923"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left w:val="nil"/>
              <w:right w:val="single" w:sz="4" w:space="0" w:color="auto"/>
            </w:tcBorders>
            <w:vAlign w:val="center"/>
          </w:tcPr>
          <w:p w14:paraId="2A781216"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SI</w:t>
            </w:r>
          </w:p>
        </w:tc>
        <w:tc>
          <w:tcPr>
            <w:tcW w:w="791" w:type="dxa"/>
            <w:tcBorders>
              <w:left w:val="single" w:sz="4" w:space="0" w:color="auto"/>
              <w:right w:val="single" w:sz="4" w:space="0" w:color="auto"/>
            </w:tcBorders>
            <w:shd w:val="clear" w:color="auto" w:fill="auto"/>
            <w:noWrap/>
            <w:vAlign w:val="center"/>
            <w:hideMark/>
          </w:tcPr>
          <w:p w14:paraId="5B5A9EE5"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1,982 </w:t>
            </w:r>
          </w:p>
        </w:tc>
        <w:tc>
          <w:tcPr>
            <w:tcW w:w="810" w:type="dxa"/>
            <w:tcBorders>
              <w:left w:val="nil"/>
              <w:right w:val="single" w:sz="4" w:space="0" w:color="auto"/>
            </w:tcBorders>
            <w:shd w:val="clear" w:color="auto" w:fill="auto"/>
            <w:noWrap/>
            <w:vAlign w:val="center"/>
            <w:hideMark/>
          </w:tcPr>
          <w:p w14:paraId="3E8EAD47"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360</w:t>
            </w:r>
          </w:p>
        </w:tc>
        <w:tc>
          <w:tcPr>
            <w:tcW w:w="630" w:type="dxa"/>
            <w:tcBorders>
              <w:left w:val="nil"/>
              <w:right w:val="single" w:sz="4" w:space="0" w:color="auto"/>
            </w:tcBorders>
            <w:shd w:val="clear" w:color="auto" w:fill="auto"/>
            <w:noWrap/>
            <w:vAlign w:val="center"/>
            <w:hideMark/>
          </w:tcPr>
          <w:p w14:paraId="029A60D4" w14:textId="77777777" w:rsidR="00AC6CBD" w:rsidRPr="0034190C" w:rsidRDefault="00AC6CBD" w:rsidP="0034190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7</w:t>
            </w:r>
          </w:p>
        </w:tc>
        <w:tc>
          <w:tcPr>
            <w:tcW w:w="720" w:type="dxa"/>
            <w:vMerge/>
            <w:tcBorders>
              <w:left w:val="single" w:sz="4" w:space="0" w:color="auto"/>
              <w:right w:val="single" w:sz="4" w:space="0" w:color="auto"/>
            </w:tcBorders>
            <w:vAlign w:val="center"/>
            <w:hideMark/>
          </w:tcPr>
          <w:p w14:paraId="778144EF" w14:textId="77777777" w:rsidR="00AC6CBD" w:rsidRPr="005D5411" w:rsidRDefault="00AC6CBD" w:rsidP="0034190C">
            <w:pPr>
              <w:rPr>
                <w:rFonts w:ascii="Arial Narrow" w:eastAsia="Times New Roman" w:hAnsi="Arial Narrow" w:cs="Arial"/>
                <w:b/>
                <w:sz w:val="18"/>
                <w:szCs w:val="18"/>
              </w:rPr>
            </w:pPr>
          </w:p>
        </w:tc>
      </w:tr>
      <w:tr w:rsidR="00AC6CBD" w:rsidRPr="0034190C" w14:paraId="76EFD1F0" w14:textId="77777777" w:rsidTr="00785817">
        <w:trPr>
          <w:trHeight w:val="360"/>
        </w:trPr>
        <w:tc>
          <w:tcPr>
            <w:tcW w:w="422" w:type="dxa"/>
            <w:tcBorders>
              <w:top w:val="nil"/>
              <w:left w:val="nil"/>
              <w:bottom w:val="nil"/>
              <w:right w:val="nil"/>
            </w:tcBorders>
            <w:shd w:val="clear" w:color="auto" w:fill="auto"/>
            <w:noWrap/>
            <w:vAlign w:val="center"/>
            <w:hideMark/>
          </w:tcPr>
          <w:p w14:paraId="149F3440" w14:textId="0A9932ED" w:rsidR="00AC6CBD" w:rsidRPr="0034190C" w:rsidRDefault="00AC6CBD" w:rsidP="00EB746C">
            <w:pPr>
              <w:jc w:val="center"/>
              <w:rPr>
                <w:rFonts w:ascii="Arial Narrow" w:eastAsia="Times New Roman" w:hAnsi="Arial Narrow" w:cs="Arial"/>
                <w:sz w:val="16"/>
                <w:szCs w:val="16"/>
              </w:rPr>
            </w:pPr>
            <w:r>
              <w:rPr>
                <w:rFonts w:ascii="Arial Narrow" w:eastAsia="Times New Roman" w:hAnsi="Arial Narrow" w:cs="Arial"/>
                <w:sz w:val="16"/>
                <w:szCs w:val="16"/>
              </w:rPr>
              <w:t>5</w:t>
            </w:r>
          </w:p>
        </w:tc>
        <w:tc>
          <w:tcPr>
            <w:tcW w:w="2079" w:type="dxa"/>
            <w:tcBorders>
              <w:left w:val="single" w:sz="4" w:space="0" w:color="auto"/>
            </w:tcBorders>
            <w:shd w:val="clear" w:color="auto" w:fill="auto"/>
            <w:noWrap/>
            <w:vAlign w:val="center"/>
            <w:hideMark/>
          </w:tcPr>
          <w:p w14:paraId="3AA4443B" w14:textId="77777777" w:rsidR="00AC6CBD" w:rsidRPr="0034190C" w:rsidRDefault="00AC6CBD" w:rsidP="00EB746C">
            <w:pPr>
              <w:jc w:val="right"/>
              <w:rPr>
                <w:rFonts w:ascii="Arial Narrow" w:eastAsia="Times New Roman" w:hAnsi="Arial Narrow" w:cs="Arial"/>
                <w:sz w:val="18"/>
                <w:szCs w:val="18"/>
              </w:rPr>
            </w:pPr>
            <w:r w:rsidRPr="0034190C">
              <w:rPr>
                <w:rFonts w:ascii="Arial Narrow" w:eastAsia="Times New Roman" w:hAnsi="Arial Narrow" w:cs="Arial"/>
                <w:sz w:val="18"/>
                <w:szCs w:val="18"/>
              </w:rPr>
              <w:t>Ohn Taw Gyi (N)</w:t>
            </w:r>
          </w:p>
        </w:tc>
        <w:tc>
          <w:tcPr>
            <w:tcW w:w="897" w:type="dxa"/>
            <w:tcBorders>
              <w:right w:val="single" w:sz="4" w:space="0" w:color="auto"/>
            </w:tcBorders>
            <w:shd w:val="clear" w:color="auto" w:fill="auto"/>
            <w:noWrap/>
            <w:vAlign w:val="center"/>
            <w:hideMark/>
          </w:tcPr>
          <w:p w14:paraId="4ADA6220"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OTG (N)</w:t>
            </w:r>
          </w:p>
        </w:tc>
        <w:tc>
          <w:tcPr>
            <w:tcW w:w="1076" w:type="dxa"/>
            <w:vMerge/>
            <w:tcBorders>
              <w:left w:val="single" w:sz="4" w:space="0" w:color="auto"/>
              <w:bottom w:val="single" w:sz="4" w:space="0" w:color="auto"/>
              <w:right w:val="single" w:sz="4" w:space="0" w:color="auto"/>
            </w:tcBorders>
            <w:vAlign w:val="center"/>
            <w:hideMark/>
          </w:tcPr>
          <w:p w14:paraId="36F34589" w14:textId="77777777" w:rsidR="00AC6CBD" w:rsidRPr="0034190C" w:rsidRDefault="00AC6CBD" w:rsidP="00EB746C">
            <w:pPr>
              <w:rPr>
                <w:rFonts w:ascii="Arial Narrow" w:eastAsia="Times New Roman" w:hAnsi="Arial Narrow" w:cs="Arial"/>
                <w:sz w:val="18"/>
                <w:szCs w:val="18"/>
              </w:rPr>
            </w:pPr>
          </w:p>
        </w:tc>
        <w:tc>
          <w:tcPr>
            <w:tcW w:w="1037" w:type="dxa"/>
            <w:tcBorders>
              <w:left w:val="nil"/>
              <w:right w:val="single" w:sz="4" w:space="0" w:color="auto"/>
            </w:tcBorders>
            <w:shd w:val="clear" w:color="000000" w:fill="auto"/>
            <w:noWrap/>
            <w:vAlign w:val="center"/>
            <w:hideMark/>
          </w:tcPr>
          <w:p w14:paraId="2DBF5F6E"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left w:val="nil"/>
              <w:right w:val="single" w:sz="4" w:space="0" w:color="auto"/>
            </w:tcBorders>
            <w:vAlign w:val="center"/>
          </w:tcPr>
          <w:p w14:paraId="21BCBD74"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SCI</w:t>
            </w:r>
          </w:p>
        </w:tc>
        <w:tc>
          <w:tcPr>
            <w:tcW w:w="791" w:type="dxa"/>
            <w:tcBorders>
              <w:left w:val="single" w:sz="4" w:space="0" w:color="auto"/>
              <w:right w:val="single" w:sz="4" w:space="0" w:color="auto"/>
            </w:tcBorders>
            <w:shd w:val="clear" w:color="auto" w:fill="auto"/>
            <w:noWrap/>
            <w:vAlign w:val="center"/>
            <w:hideMark/>
          </w:tcPr>
          <w:p w14:paraId="60BCD159"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14,216 </w:t>
            </w:r>
          </w:p>
        </w:tc>
        <w:tc>
          <w:tcPr>
            <w:tcW w:w="810" w:type="dxa"/>
            <w:tcBorders>
              <w:left w:val="nil"/>
              <w:right w:val="single" w:sz="4" w:space="0" w:color="auto"/>
            </w:tcBorders>
            <w:shd w:val="clear" w:color="auto" w:fill="auto"/>
            <w:noWrap/>
            <w:vAlign w:val="center"/>
            <w:hideMark/>
          </w:tcPr>
          <w:p w14:paraId="46B824BD"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2,585</w:t>
            </w:r>
          </w:p>
        </w:tc>
        <w:tc>
          <w:tcPr>
            <w:tcW w:w="630" w:type="dxa"/>
            <w:tcBorders>
              <w:left w:val="nil"/>
              <w:right w:val="single" w:sz="4" w:space="0" w:color="auto"/>
            </w:tcBorders>
            <w:shd w:val="clear" w:color="auto" w:fill="auto"/>
            <w:noWrap/>
            <w:vAlign w:val="center"/>
            <w:hideMark/>
          </w:tcPr>
          <w:p w14:paraId="21664599" w14:textId="77777777" w:rsidR="00AC6CBD" w:rsidRPr="0034190C" w:rsidRDefault="00AC6CBD" w:rsidP="00EB746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48</w:t>
            </w:r>
          </w:p>
        </w:tc>
        <w:tc>
          <w:tcPr>
            <w:tcW w:w="720" w:type="dxa"/>
            <w:vMerge/>
            <w:tcBorders>
              <w:left w:val="single" w:sz="4" w:space="0" w:color="auto"/>
              <w:right w:val="single" w:sz="4" w:space="0" w:color="auto"/>
            </w:tcBorders>
            <w:vAlign w:val="center"/>
            <w:hideMark/>
          </w:tcPr>
          <w:p w14:paraId="6B88B760" w14:textId="77777777" w:rsidR="00AC6CBD" w:rsidRPr="005D5411" w:rsidRDefault="00AC6CBD" w:rsidP="00EB746C">
            <w:pPr>
              <w:rPr>
                <w:rFonts w:ascii="Arial Narrow" w:eastAsia="Times New Roman" w:hAnsi="Arial Narrow" w:cs="Arial"/>
                <w:b/>
                <w:sz w:val="18"/>
                <w:szCs w:val="18"/>
              </w:rPr>
            </w:pPr>
          </w:p>
        </w:tc>
      </w:tr>
      <w:tr w:rsidR="00AC6CBD" w:rsidRPr="0034190C" w14:paraId="355D3A20" w14:textId="77777777" w:rsidTr="00785817">
        <w:trPr>
          <w:trHeight w:val="360"/>
        </w:trPr>
        <w:tc>
          <w:tcPr>
            <w:tcW w:w="422" w:type="dxa"/>
            <w:tcBorders>
              <w:top w:val="nil"/>
              <w:left w:val="nil"/>
              <w:bottom w:val="nil"/>
              <w:right w:val="nil"/>
            </w:tcBorders>
            <w:shd w:val="clear" w:color="auto" w:fill="auto"/>
            <w:noWrap/>
            <w:vAlign w:val="center"/>
            <w:hideMark/>
          </w:tcPr>
          <w:p w14:paraId="2F351979" w14:textId="60AF374B" w:rsidR="00AC6CBD" w:rsidRPr="0034190C" w:rsidRDefault="00AC6CBD" w:rsidP="00EB746C">
            <w:pPr>
              <w:jc w:val="center"/>
              <w:rPr>
                <w:rFonts w:ascii="Arial Narrow" w:eastAsia="Times New Roman" w:hAnsi="Arial Narrow" w:cs="Arial"/>
                <w:sz w:val="16"/>
                <w:szCs w:val="16"/>
              </w:rPr>
            </w:pPr>
            <w:r>
              <w:rPr>
                <w:rFonts w:ascii="Arial Narrow" w:eastAsia="Times New Roman" w:hAnsi="Arial Narrow" w:cs="Arial"/>
                <w:sz w:val="16"/>
                <w:szCs w:val="16"/>
              </w:rPr>
              <w:t>6</w:t>
            </w:r>
          </w:p>
        </w:tc>
        <w:tc>
          <w:tcPr>
            <w:tcW w:w="2079" w:type="dxa"/>
            <w:tcBorders>
              <w:left w:val="single" w:sz="4" w:space="0" w:color="auto"/>
            </w:tcBorders>
            <w:shd w:val="clear" w:color="auto" w:fill="auto"/>
            <w:noWrap/>
            <w:vAlign w:val="center"/>
            <w:hideMark/>
          </w:tcPr>
          <w:p w14:paraId="231EF23A" w14:textId="77777777" w:rsidR="00AC6CBD" w:rsidRPr="0034190C" w:rsidRDefault="00AC6CBD" w:rsidP="00EB746C">
            <w:pPr>
              <w:jc w:val="right"/>
              <w:rPr>
                <w:rFonts w:ascii="Arial Narrow" w:eastAsia="Times New Roman" w:hAnsi="Arial Narrow" w:cs="Arial"/>
                <w:sz w:val="18"/>
                <w:szCs w:val="18"/>
              </w:rPr>
            </w:pPr>
            <w:r w:rsidRPr="0034190C">
              <w:rPr>
                <w:rFonts w:ascii="Arial Narrow" w:eastAsia="Times New Roman" w:hAnsi="Arial Narrow" w:cs="Arial"/>
                <w:sz w:val="18"/>
                <w:szCs w:val="18"/>
              </w:rPr>
              <w:t xml:space="preserve">Thet </w:t>
            </w:r>
            <w:proofErr w:type="spellStart"/>
            <w:r w:rsidRPr="0034190C">
              <w:rPr>
                <w:rFonts w:ascii="Arial Narrow" w:eastAsia="Times New Roman" w:hAnsi="Arial Narrow" w:cs="Arial"/>
                <w:sz w:val="18"/>
                <w:szCs w:val="18"/>
              </w:rPr>
              <w:t>Kel</w:t>
            </w:r>
            <w:proofErr w:type="spellEnd"/>
            <w:r w:rsidRPr="0034190C">
              <w:rPr>
                <w:rFonts w:ascii="Arial Narrow" w:eastAsia="Times New Roman" w:hAnsi="Arial Narrow" w:cs="Arial"/>
                <w:sz w:val="18"/>
                <w:szCs w:val="18"/>
              </w:rPr>
              <w:t xml:space="preserve"> Pyin</w:t>
            </w:r>
          </w:p>
        </w:tc>
        <w:tc>
          <w:tcPr>
            <w:tcW w:w="897" w:type="dxa"/>
            <w:tcBorders>
              <w:right w:val="single" w:sz="4" w:space="0" w:color="auto"/>
            </w:tcBorders>
            <w:shd w:val="clear" w:color="auto" w:fill="auto"/>
            <w:noWrap/>
            <w:vAlign w:val="center"/>
            <w:hideMark/>
          </w:tcPr>
          <w:p w14:paraId="753F688B"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TKP</w:t>
            </w:r>
          </w:p>
        </w:tc>
        <w:tc>
          <w:tcPr>
            <w:tcW w:w="1076" w:type="dxa"/>
            <w:vMerge/>
            <w:tcBorders>
              <w:left w:val="single" w:sz="4" w:space="0" w:color="auto"/>
              <w:bottom w:val="single" w:sz="4" w:space="0" w:color="auto"/>
              <w:right w:val="single" w:sz="4" w:space="0" w:color="auto"/>
            </w:tcBorders>
            <w:vAlign w:val="center"/>
            <w:hideMark/>
          </w:tcPr>
          <w:p w14:paraId="1C9A95A8" w14:textId="77777777" w:rsidR="00AC6CBD" w:rsidRPr="0034190C" w:rsidRDefault="00AC6CBD" w:rsidP="00EB746C">
            <w:pPr>
              <w:rPr>
                <w:rFonts w:ascii="Arial Narrow" w:eastAsia="Times New Roman" w:hAnsi="Arial Narrow" w:cs="Arial"/>
                <w:sz w:val="18"/>
                <w:szCs w:val="18"/>
              </w:rPr>
            </w:pPr>
          </w:p>
        </w:tc>
        <w:tc>
          <w:tcPr>
            <w:tcW w:w="1037" w:type="dxa"/>
            <w:tcBorders>
              <w:left w:val="nil"/>
              <w:right w:val="single" w:sz="4" w:space="0" w:color="auto"/>
            </w:tcBorders>
            <w:shd w:val="clear" w:color="000000" w:fill="auto"/>
            <w:noWrap/>
            <w:vAlign w:val="center"/>
            <w:hideMark/>
          </w:tcPr>
          <w:p w14:paraId="716C1CEE"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left w:val="nil"/>
              <w:right w:val="single" w:sz="4" w:space="0" w:color="auto"/>
            </w:tcBorders>
            <w:vAlign w:val="center"/>
          </w:tcPr>
          <w:p w14:paraId="5B9EBA90"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SCI</w:t>
            </w:r>
          </w:p>
        </w:tc>
        <w:tc>
          <w:tcPr>
            <w:tcW w:w="791" w:type="dxa"/>
            <w:tcBorders>
              <w:left w:val="single" w:sz="4" w:space="0" w:color="auto"/>
              <w:right w:val="single" w:sz="4" w:space="0" w:color="auto"/>
            </w:tcBorders>
            <w:shd w:val="clear" w:color="auto" w:fill="auto"/>
            <w:noWrap/>
            <w:vAlign w:val="center"/>
            <w:hideMark/>
          </w:tcPr>
          <w:p w14:paraId="736819ED"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6,255 </w:t>
            </w:r>
          </w:p>
        </w:tc>
        <w:tc>
          <w:tcPr>
            <w:tcW w:w="810" w:type="dxa"/>
            <w:tcBorders>
              <w:left w:val="nil"/>
              <w:right w:val="single" w:sz="4" w:space="0" w:color="auto"/>
            </w:tcBorders>
            <w:shd w:val="clear" w:color="auto" w:fill="auto"/>
            <w:noWrap/>
            <w:vAlign w:val="center"/>
            <w:hideMark/>
          </w:tcPr>
          <w:p w14:paraId="7BB77D59"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1,137</w:t>
            </w:r>
          </w:p>
        </w:tc>
        <w:tc>
          <w:tcPr>
            <w:tcW w:w="630" w:type="dxa"/>
            <w:tcBorders>
              <w:left w:val="nil"/>
              <w:right w:val="single" w:sz="4" w:space="0" w:color="auto"/>
            </w:tcBorders>
            <w:shd w:val="clear" w:color="auto" w:fill="auto"/>
            <w:noWrap/>
            <w:vAlign w:val="center"/>
            <w:hideMark/>
          </w:tcPr>
          <w:p w14:paraId="4950C108" w14:textId="77777777" w:rsidR="00AC6CBD" w:rsidRPr="0034190C" w:rsidRDefault="00AC6CBD" w:rsidP="00EB746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22</w:t>
            </w:r>
          </w:p>
        </w:tc>
        <w:tc>
          <w:tcPr>
            <w:tcW w:w="720" w:type="dxa"/>
            <w:vMerge/>
            <w:tcBorders>
              <w:left w:val="single" w:sz="4" w:space="0" w:color="auto"/>
              <w:right w:val="single" w:sz="4" w:space="0" w:color="auto"/>
            </w:tcBorders>
            <w:vAlign w:val="center"/>
            <w:hideMark/>
          </w:tcPr>
          <w:p w14:paraId="3A0A39EE" w14:textId="77777777" w:rsidR="00AC6CBD" w:rsidRPr="005D5411" w:rsidRDefault="00AC6CBD" w:rsidP="00EB746C">
            <w:pPr>
              <w:rPr>
                <w:rFonts w:ascii="Arial Narrow" w:eastAsia="Times New Roman" w:hAnsi="Arial Narrow" w:cs="Arial"/>
                <w:b/>
                <w:sz w:val="18"/>
                <w:szCs w:val="18"/>
              </w:rPr>
            </w:pPr>
          </w:p>
        </w:tc>
      </w:tr>
      <w:tr w:rsidR="00AC6CBD" w:rsidRPr="0034190C" w14:paraId="36F9DFDC" w14:textId="77777777" w:rsidTr="00785817">
        <w:trPr>
          <w:trHeight w:val="360"/>
        </w:trPr>
        <w:tc>
          <w:tcPr>
            <w:tcW w:w="422" w:type="dxa"/>
            <w:tcBorders>
              <w:top w:val="nil"/>
              <w:left w:val="nil"/>
              <w:bottom w:val="nil"/>
              <w:right w:val="nil"/>
            </w:tcBorders>
            <w:shd w:val="clear" w:color="auto" w:fill="auto"/>
            <w:noWrap/>
            <w:vAlign w:val="center"/>
            <w:hideMark/>
          </w:tcPr>
          <w:p w14:paraId="1BF2990D" w14:textId="56D48BBB" w:rsidR="00AC6CBD" w:rsidRPr="0034190C" w:rsidRDefault="00AC6CBD" w:rsidP="0034190C">
            <w:pPr>
              <w:jc w:val="center"/>
              <w:rPr>
                <w:rFonts w:ascii="Arial Narrow" w:eastAsia="Times New Roman" w:hAnsi="Arial Narrow" w:cs="Arial"/>
                <w:sz w:val="16"/>
                <w:szCs w:val="16"/>
              </w:rPr>
            </w:pPr>
            <w:r>
              <w:rPr>
                <w:rFonts w:ascii="Arial Narrow" w:eastAsia="Times New Roman" w:hAnsi="Arial Narrow" w:cs="Arial"/>
                <w:sz w:val="16"/>
                <w:szCs w:val="16"/>
              </w:rPr>
              <w:t>7</w:t>
            </w:r>
          </w:p>
        </w:tc>
        <w:tc>
          <w:tcPr>
            <w:tcW w:w="2079" w:type="dxa"/>
            <w:tcBorders>
              <w:left w:val="single" w:sz="4" w:space="0" w:color="auto"/>
            </w:tcBorders>
            <w:shd w:val="clear" w:color="auto" w:fill="auto"/>
            <w:noWrap/>
            <w:vAlign w:val="center"/>
            <w:hideMark/>
          </w:tcPr>
          <w:p w14:paraId="44E64996" w14:textId="77777777" w:rsidR="00AC6CBD" w:rsidRPr="0034190C" w:rsidRDefault="00AC6CBD" w:rsidP="00D32176">
            <w:pPr>
              <w:jc w:val="right"/>
              <w:rPr>
                <w:rFonts w:ascii="Arial Narrow" w:eastAsia="Times New Roman" w:hAnsi="Arial Narrow" w:cs="Arial"/>
                <w:sz w:val="18"/>
                <w:szCs w:val="18"/>
              </w:rPr>
            </w:pPr>
            <w:r w:rsidRPr="0034190C">
              <w:rPr>
                <w:rFonts w:ascii="Arial Narrow" w:eastAsia="Times New Roman" w:hAnsi="Arial Narrow" w:cs="Arial"/>
                <w:sz w:val="18"/>
                <w:szCs w:val="18"/>
              </w:rPr>
              <w:t>Maw Ti Ngar</w:t>
            </w:r>
          </w:p>
        </w:tc>
        <w:tc>
          <w:tcPr>
            <w:tcW w:w="897" w:type="dxa"/>
            <w:tcBorders>
              <w:right w:val="single" w:sz="4" w:space="0" w:color="auto"/>
            </w:tcBorders>
            <w:shd w:val="clear" w:color="auto" w:fill="auto"/>
            <w:noWrap/>
            <w:vAlign w:val="center"/>
            <w:hideMark/>
          </w:tcPr>
          <w:p w14:paraId="51A1CC5E"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MTN</w:t>
            </w:r>
          </w:p>
        </w:tc>
        <w:tc>
          <w:tcPr>
            <w:tcW w:w="1076" w:type="dxa"/>
            <w:vMerge/>
            <w:tcBorders>
              <w:left w:val="single" w:sz="4" w:space="0" w:color="auto"/>
              <w:bottom w:val="single" w:sz="4" w:space="0" w:color="auto"/>
              <w:right w:val="single" w:sz="4" w:space="0" w:color="auto"/>
            </w:tcBorders>
            <w:vAlign w:val="center"/>
            <w:hideMark/>
          </w:tcPr>
          <w:p w14:paraId="472A19ED" w14:textId="77777777" w:rsidR="00AC6CBD" w:rsidRPr="0034190C" w:rsidRDefault="00AC6CBD" w:rsidP="0034190C">
            <w:pPr>
              <w:rPr>
                <w:rFonts w:ascii="Arial Narrow" w:eastAsia="Times New Roman" w:hAnsi="Arial Narrow" w:cs="Arial"/>
                <w:sz w:val="18"/>
                <w:szCs w:val="18"/>
              </w:rPr>
            </w:pPr>
          </w:p>
        </w:tc>
        <w:tc>
          <w:tcPr>
            <w:tcW w:w="1037" w:type="dxa"/>
            <w:tcBorders>
              <w:left w:val="nil"/>
              <w:right w:val="single" w:sz="4" w:space="0" w:color="auto"/>
            </w:tcBorders>
            <w:shd w:val="clear" w:color="000000" w:fill="auto"/>
            <w:noWrap/>
            <w:vAlign w:val="center"/>
            <w:hideMark/>
          </w:tcPr>
          <w:p w14:paraId="35316287"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left w:val="nil"/>
              <w:right w:val="single" w:sz="4" w:space="0" w:color="auto"/>
            </w:tcBorders>
            <w:vAlign w:val="center"/>
          </w:tcPr>
          <w:p w14:paraId="429DAF2F"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SCI</w:t>
            </w:r>
          </w:p>
        </w:tc>
        <w:tc>
          <w:tcPr>
            <w:tcW w:w="791" w:type="dxa"/>
            <w:tcBorders>
              <w:left w:val="single" w:sz="4" w:space="0" w:color="auto"/>
              <w:right w:val="single" w:sz="4" w:space="0" w:color="auto"/>
            </w:tcBorders>
            <w:shd w:val="clear" w:color="auto" w:fill="auto"/>
            <w:noWrap/>
            <w:vAlign w:val="center"/>
            <w:hideMark/>
          </w:tcPr>
          <w:p w14:paraId="36566542"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3,457 </w:t>
            </w:r>
          </w:p>
        </w:tc>
        <w:tc>
          <w:tcPr>
            <w:tcW w:w="810" w:type="dxa"/>
            <w:tcBorders>
              <w:left w:val="nil"/>
              <w:right w:val="single" w:sz="4" w:space="0" w:color="auto"/>
            </w:tcBorders>
            <w:shd w:val="clear" w:color="auto" w:fill="auto"/>
            <w:noWrap/>
            <w:vAlign w:val="center"/>
            <w:hideMark/>
          </w:tcPr>
          <w:p w14:paraId="2B775DE2"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629</w:t>
            </w:r>
          </w:p>
        </w:tc>
        <w:tc>
          <w:tcPr>
            <w:tcW w:w="630" w:type="dxa"/>
            <w:tcBorders>
              <w:left w:val="nil"/>
              <w:right w:val="single" w:sz="4" w:space="0" w:color="auto"/>
            </w:tcBorders>
            <w:shd w:val="clear" w:color="auto" w:fill="auto"/>
            <w:noWrap/>
            <w:vAlign w:val="center"/>
            <w:hideMark/>
          </w:tcPr>
          <w:p w14:paraId="1D5976D4" w14:textId="77777777" w:rsidR="00AC6CBD" w:rsidRPr="0034190C" w:rsidRDefault="00AC6CBD" w:rsidP="0034190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12</w:t>
            </w:r>
          </w:p>
        </w:tc>
        <w:tc>
          <w:tcPr>
            <w:tcW w:w="720" w:type="dxa"/>
            <w:vMerge/>
            <w:tcBorders>
              <w:left w:val="single" w:sz="4" w:space="0" w:color="auto"/>
              <w:right w:val="single" w:sz="4" w:space="0" w:color="auto"/>
            </w:tcBorders>
            <w:vAlign w:val="center"/>
            <w:hideMark/>
          </w:tcPr>
          <w:p w14:paraId="0C3060AF" w14:textId="77777777" w:rsidR="00AC6CBD" w:rsidRPr="005D5411" w:rsidRDefault="00AC6CBD" w:rsidP="0034190C">
            <w:pPr>
              <w:rPr>
                <w:rFonts w:ascii="Arial Narrow" w:eastAsia="Times New Roman" w:hAnsi="Arial Narrow" w:cs="Arial"/>
                <w:b/>
                <w:sz w:val="18"/>
                <w:szCs w:val="18"/>
              </w:rPr>
            </w:pPr>
          </w:p>
        </w:tc>
      </w:tr>
      <w:tr w:rsidR="00AC6CBD" w:rsidRPr="0034190C" w14:paraId="1652149A" w14:textId="77777777" w:rsidTr="00785817">
        <w:trPr>
          <w:trHeight w:val="360"/>
        </w:trPr>
        <w:tc>
          <w:tcPr>
            <w:tcW w:w="422" w:type="dxa"/>
            <w:tcBorders>
              <w:top w:val="nil"/>
              <w:left w:val="nil"/>
              <w:bottom w:val="nil"/>
              <w:right w:val="nil"/>
            </w:tcBorders>
            <w:shd w:val="clear" w:color="auto" w:fill="auto"/>
            <w:noWrap/>
            <w:vAlign w:val="center"/>
            <w:hideMark/>
          </w:tcPr>
          <w:p w14:paraId="16E1917C" w14:textId="556171D4" w:rsidR="00AC6CBD" w:rsidRPr="0034190C" w:rsidRDefault="00AC6CBD" w:rsidP="00EB746C">
            <w:pPr>
              <w:jc w:val="center"/>
              <w:rPr>
                <w:rFonts w:ascii="Arial Narrow" w:eastAsia="Times New Roman" w:hAnsi="Arial Narrow" w:cs="Arial"/>
                <w:sz w:val="16"/>
                <w:szCs w:val="16"/>
              </w:rPr>
            </w:pPr>
            <w:r>
              <w:rPr>
                <w:rFonts w:ascii="Arial Narrow" w:eastAsia="Times New Roman" w:hAnsi="Arial Narrow" w:cs="Arial"/>
                <w:sz w:val="16"/>
                <w:szCs w:val="16"/>
              </w:rPr>
              <w:t>8</w:t>
            </w:r>
          </w:p>
        </w:tc>
        <w:tc>
          <w:tcPr>
            <w:tcW w:w="2079" w:type="dxa"/>
            <w:tcBorders>
              <w:left w:val="single" w:sz="4" w:space="0" w:color="auto"/>
            </w:tcBorders>
            <w:shd w:val="clear" w:color="auto" w:fill="auto"/>
            <w:noWrap/>
            <w:vAlign w:val="center"/>
            <w:hideMark/>
          </w:tcPr>
          <w:p w14:paraId="6696EF74" w14:textId="77777777" w:rsidR="00AC6CBD" w:rsidRPr="0034190C" w:rsidRDefault="00AC6CBD" w:rsidP="00EB746C">
            <w:pPr>
              <w:jc w:val="right"/>
              <w:rPr>
                <w:rFonts w:ascii="Arial Narrow" w:eastAsia="Times New Roman" w:hAnsi="Arial Narrow" w:cs="Arial"/>
                <w:sz w:val="18"/>
                <w:szCs w:val="18"/>
              </w:rPr>
            </w:pPr>
            <w:r w:rsidRPr="0034190C">
              <w:rPr>
                <w:rFonts w:ascii="Arial Narrow" w:eastAsia="Times New Roman" w:hAnsi="Arial Narrow" w:cs="Arial"/>
                <w:sz w:val="18"/>
                <w:szCs w:val="18"/>
              </w:rPr>
              <w:t>Basara</w:t>
            </w:r>
          </w:p>
        </w:tc>
        <w:tc>
          <w:tcPr>
            <w:tcW w:w="897" w:type="dxa"/>
            <w:tcBorders>
              <w:right w:val="single" w:sz="4" w:space="0" w:color="auto"/>
            </w:tcBorders>
            <w:shd w:val="clear" w:color="auto" w:fill="auto"/>
            <w:noWrap/>
            <w:vAlign w:val="center"/>
            <w:hideMark/>
          </w:tcPr>
          <w:p w14:paraId="476D11D4"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BSR</w:t>
            </w:r>
          </w:p>
        </w:tc>
        <w:tc>
          <w:tcPr>
            <w:tcW w:w="1076" w:type="dxa"/>
            <w:vMerge/>
            <w:tcBorders>
              <w:left w:val="single" w:sz="4" w:space="0" w:color="auto"/>
              <w:bottom w:val="single" w:sz="4" w:space="0" w:color="auto"/>
              <w:right w:val="single" w:sz="4" w:space="0" w:color="auto"/>
            </w:tcBorders>
            <w:vAlign w:val="center"/>
            <w:hideMark/>
          </w:tcPr>
          <w:p w14:paraId="3E51BFF1" w14:textId="77777777" w:rsidR="00AC6CBD" w:rsidRPr="0034190C" w:rsidRDefault="00AC6CBD" w:rsidP="00EB746C">
            <w:pPr>
              <w:rPr>
                <w:rFonts w:ascii="Arial Narrow" w:eastAsia="Times New Roman" w:hAnsi="Arial Narrow" w:cs="Arial"/>
                <w:sz w:val="18"/>
                <w:szCs w:val="18"/>
              </w:rPr>
            </w:pPr>
          </w:p>
        </w:tc>
        <w:tc>
          <w:tcPr>
            <w:tcW w:w="1037" w:type="dxa"/>
            <w:tcBorders>
              <w:left w:val="nil"/>
              <w:right w:val="single" w:sz="4" w:space="0" w:color="auto"/>
            </w:tcBorders>
            <w:shd w:val="clear" w:color="000000" w:fill="auto"/>
            <w:noWrap/>
            <w:vAlign w:val="center"/>
            <w:hideMark/>
          </w:tcPr>
          <w:p w14:paraId="613D56CB"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left w:val="nil"/>
              <w:right w:val="single" w:sz="4" w:space="0" w:color="auto"/>
            </w:tcBorders>
            <w:vAlign w:val="center"/>
          </w:tcPr>
          <w:p w14:paraId="09378636"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SCI</w:t>
            </w:r>
          </w:p>
        </w:tc>
        <w:tc>
          <w:tcPr>
            <w:tcW w:w="791" w:type="dxa"/>
            <w:tcBorders>
              <w:left w:val="single" w:sz="4" w:space="0" w:color="auto"/>
              <w:right w:val="single" w:sz="4" w:space="0" w:color="auto"/>
            </w:tcBorders>
            <w:shd w:val="clear" w:color="auto" w:fill="auto"/>
            <w:noWrap/>
            <w:vAlign w:val="center"/>
            <w:hideMark/>
          </w:tcPr>
          <w:p w14:paraId="32247EA4"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1,980 </w:t>
            </w:r>
          </w:p>
        </w:tc>
        <w:tc>
          <w:tcPr>
            <w:tcW w:w="810" w:type="dxa"/>
            <w:tcBorders>
              <w:left w:val="nil"/>
              <w:right w:val="single" w:sz="4" w:space="0" w:color="auto"/>
            </w:tcBorders>
            <w:shd w:val="clear" w:color="auto" w:fill="auto"/>
            <w:noWrap/>
            <w:vAlign w:val="center"/>
            <w:hideMark/>
          </w:tcPr>
          <w:p w14:paraId="3D1B15D2"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360</w:t>
            </w:r>
          </w:p>
        </w:tc>
        <w:tc>
          <w:tcPr>
            <w:tcW w:w="630" w:type="dxa"/>
            <w:tcBorders>
              <w:left w:val="nil"/>
              <w:right w:val="single" w:sz="4" w:space="0" w:color="auto"/>
            </w:tcBorders>
            <w:shd w:val="clear" w:color="auto" w:fill="auto"/>
            <w:noWrap/>
            <w:vAlign w:val="center"/>
            <w:hideMark/>
          </w:tcPr>
          <w:p w14:paraId="5320F4A0" w14:textId="77777777" w:rsidR="00AC6CBD" w:rsidRPr="0034190C" w:rsidRDefault="00AC6CBD" w:rsidP="00EB746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7</w:t>
            </w:r>
          </w:p>
        </w:tc>
        <w:tc>
          <w:tcPr>
            <w:tcW w:w="720" w:type="dxa"/>
            <w:vMerge/>
            <w:tcBorders>
              <w:left w:val="single" w:sz="4" w:space="0" w:color="auto"/>
              <w:right w:val="single" w:sz="4" w:space="0" w:color="auto"/>
            </w:tcBorders>
            <w:vAlign w:val="center"/>
            <w:hideMark/>
          </w:tcPr>
          <w:p w14:paraId="32558813" w14:textId="77777777" w:rsidR="00AC6CBD" w:rsidRPr="005D5411" w:rsidRDefault="00AC6CBD" w:rsidP="00EB746C">
            <w:pPr>
              <w:rPr>
                <w:rFonts w:ascii="Arial Narrow" w:eastAsia="Times New Roman" w:hAnsi="Arial Narrow" w:cs="Arial"/>
                <w:b/>
                <w:sz w:val="18"/>
                <w:szCs w:val="18"/>
              </w:rPr>
            </w:pPr>
          </w:p>
        </w:tc>
      </w:tr>
      <w:tr w:rsidR="00AC6CBD" w:rsidRPr="0034190C" w14:paraId="5C11B62E" w14:textId="77777777" w:rsidTr="00785817">
        <w:trPr>
          <w:trHeight w:val="360"/>
        </w:trPr>
        <w:tc>
          <w:tcPr>
            <w:tcW w:w="422" w:type="dxa"/>
            <w:tcBorders>
              <w:top w:val="nil"/>
              <w:left w:val="nil"/>
              <w:bottom w:val="nil"/>
              <w:right w:val="nil"/>
            </w:tcBorders>
            <w:shd w:val="clear" w:color="auto" w:fill="auto"/>
            <w:noWrap/>
            <w:vAlign w:val="center"/>
            <w:hideMark/>
          </w:tcPr>
          <w:p w14:paraId="463D138B" w14:textId="61A64F29" w:rsidR="00AC6CBD" w:rsidRPr="0034190C" w:rsidRDefault="00AC6CBD" w:rsidP="00785817">
            <w:pPr>
              <w:jc w:val="center"/>
              <w:rPr>
                <w:rFonts w:ascii="Arial Narrow" w:eastAsia="Times New Roman" w:hAnsi="Arial Narrow" w:cs="Arial"/>
                <w:sz w:val="16"/>
                <w:szCs w:val="16"/>
              </w:rPr>
            </w:pPr>
            <w:r>
              <w:rPr>
                <w:rFonts w:ascii="Arial Narrow" w:eastAsia="Times New Roman" w:hAnsi="Arial Narrow" w:cs="Arial"/>
                <w:sz w:val="16"/>
                <w:szCs w:val="16"/>
              </w:rPr>
              <w:t>9</w:t>
            </w:r>
          </w:p>
        </w:tc>
        <w:tc>
          <w:tcPr>
            <w:tcW w:w="2079" w:type="dxa"/>
            <w:tcBorders>
              <w:left w:val="single" w:sz="4" w:space="0" w:color="auto"/>
            </w:tcBorders>
            <w:shd w:val="clear" w:color="auto" w:fill="auto"/>
            <w:noWrap/>
            <w:vAlign w:val="center"/>
            <w:hideMark/>
          </w:tcPr>
          <w:p w14:paraId="30239C01" w14:textId="77777777" w:rsidR="00AC6CBD" w:rsidRPr="0034190C" w:rsidRDefault="00AC6CBD" w:rsidP="00785817">
            <w:pPr>
              <w:jc w:val="right"/>
              <w:rPr>
                <w:rFonts w:ascii="Arial Narrow" w:eastAsia="Times New Roman" w:hAnsi="Arial Narrow" w:cs="Arial"/>
                <w:sz w:val="18"/>
                <w:szCs w:val="18"/>
              </w:rPr>
            </w:pPr>
            <w:r w:rsidRPr="0034190C">
              <w:rPr>
                <w:rFonts w:ascii="Arial Narrow" w:eastAsia="Times New Roman" w:hAnsi="Arial Narrow" w:cs="Arial"/>
                <w:sz w:val="18"/>
                <w:szCs w:val="18"/>
              </w:rPr>
              <w:t>Say Tha Mar Gyi</w:t>
            </w:r>
          </w:p>
        </w:tc>
        <w:tc>
          <w:tcPr>
            <w:tcW w:w="897" w:type="dxa"/>
            <w:tcBorders>
              <w:right w:val="single" w:sz="4" w:space="0" w:color="auto"/>
            </w:tcBorders>
            <w:shd w:val="clear" w:color="auto" w:fill="auto"/>
            <w:noWrap/>
            <w:vAlign w:val="center"/>
            <w:hideMark/>
          </w:tcPr>
          <w:p w14:paraId="6124AA67"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STMG</w:t>
            </w:r>
          </w:p>
        </w:tc>
        <w:tc>
          <w:tcPr>
            <w:tcW w:w="1076" w:type="dxa"/>
            <w:vMerge/>
            <w:tcBorders>
              <w:left w:val="single" w:sz="4" w:space="0" w:color="auto"/>
              <w:bottom w:val="single" w:sz="4" w:space="0" w:color="auto"/>
              <w:right w:val="single" w:sz="4" w:space="0" w:color="auto"/>
            </w:tcBorders>
            <w:vAlign w:val="center"/>
            <w:hideMark/>
          </w:tcPr>
          <w:p w14:paraId="56AA1BAA" w14:textId="77777777" w:rsidR="00AC6CBD" w:rsidRPr="0034190C" w:rsidRDefault="00AC6CBD" w:rsidP="00785817">
            <w:pPr>
              <w:rPr>
                <w:rFonts w:ascii="Arial Narrow" w:eastAsia="Times New Roman" w:hAnsi="Arial Narrow" w:cs="Arial"/>
                <w:sz w:val="18"/>
                <w:szCs w:val="18"/>
              </w:rPr>
            </w:pPr>
          </w:p>
        </w:tc>
        <w:tc>
          <w:tcPr>
            <w:tcW w:w="1037" w:type="dxa"/>
            <w:tcBorders>
              <w:left w:val="nil"/>
              <w:right w:val="single" w:sz="4" w:space="0" w:color="auto"/>
            </w:tcBorders>
            <w:shd w:val="clear" w:color="000000" w:fill="auto"/>
            <w:noWrap/>
            <w:vAlign w:val="center"/>
            <w:hideMark/>
          </w:tcPr>
          <w:p w14:paraId="56F43853" w14:textId="77777777" w:rsidR="00AC6CBD" w:rsidRPr="0034190C" w:rsidRDefault="00AC6CBD" w:rsidP="00785817">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left w:val="nil"/>
              <w:right w:val="single" w:sz="4" w:space="0" w:color="auto"/>
            </w:tcBorders>
            <w:vAlign w:val="center"/>
          </w:tcPr>
          <w:p w14:paraId="7221B3BF" w14:textId="77777777" w:rsidR="00AC6CBD" w:rsidRPr="0034190C" w:rsidRDefault="00AC6CBD" w:rsidP="00785817">
            <w:pPr>
              <w:jc w:val="center"/>
              <w:rPr>
                <w:rFonts w:ascii="Arial Narrow" w:eastAsia="Times New Roman" w:hAnsi="Arial Narrow" w:cs="Arial"/>
                <w:sz w:val="18"/>
                <w:szCs w:val="18"/>
              </w:rPr>
            </w:pPr>
            <w:r w:rsidRPr="0034190C">
              <w:rPr>
                <w:rFonts w:ascii="Arial Narrow" w:eastAsia="Times New Roman" w:hAnsi="Arial Narrow" w:cs="Arial"/>
                <w:sz w:val="18"/>
                <w:szCs w:val="18"/>
              </w:rPr>
              <w:t>OGB</w:t>
            </w:r>
          </w:p>
        </w:tc>
        <w:tc>
          <w:tcPr>
            <w:tcW w:w="791" w:type="dxa"/>
            <w:tcBorders>
              <w:left w:val="single" w:sz="4" w:space="0" w:color="auto"/>
              <w:right w:val="single" w:sz="4" w:space="0" w:color="auto"/>
            </w:tcBorders>
            <w:shd w:val="clear" w:color="auto" w:fill="auto"/>
            <w:noWrap/>
            <w:vAlign w:val="center"/>
            <w:hideMark/>
          </w:tcPr>
          <w:p w14:paraId="11F9A04C" w14:textId="77777777" w:rsidR="00AC6CBD" w:rsidRPr="0034190C" w:rsidRDefault="00AC6CBD" w:rsidP="00785817">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12,064 </w:t>
            </w:r>
          </w:p>
        </w:tc>
        <w:tc>
          <w:tcPr>
            <w:tcW w:w="810" w:type="dxa"/>
            <w:tcBorders>
              <w:left w:val="nil"/>
              <w:right w:val="single" w:sz="4" w:space="0" w:color="auto"/>
            </w:tcBorders>
            <w:shd w:val="clear" w:color="auto" w:fill="auto"/>
            <w:noWrap/>
            <w:vAlign w:val="center"/>
            <w:hideMark/>
          </w:tcPr>
          <w:p w14:paraId="30874B78" w14:textId="77777777" w:rsidR="00AC6CBD" w:rsidRPr="0034190C" w:rsidRDefault="00AC6CBD" w:rsidP="00785817">
            <w:pPr>
              <w:jc w:val="center"/>
              <w:rPr>
                <w:rFonts w:ascii="Arial Narrow" w:eastAsia="Times New Roman" w:hAnsi="Arial Narrow" w:cs="Arial"/>
                <w:sz w:val="18"/>
                <w:szCs w:val="18"/>
              </w:rPr>
            </w:pPr>
            <w:r w:rsidRPr="0034190C">
              <w:rPr>
                <w:rFonts w:ascii="Arial Narrow" w:eastAsia="Times New Roman" w:hAnsi="Arial Narrow" w:cs="Arial"/>
                <w:sz w:val="18"/>
                <w:szCs w:val="18"/>
              </w:rPr>
              <w:t>2,193</w:t>
            </w:r>
          </w:p>
        </w:tc>
        <w:tc>
          <w:tcPr>
            <w:tcW w:w="630" w:type="dxa"/>
            <w:tcBorders>
              <w:left w:val="nil"/>
              <w:right w:val="single" w:sz="4" w:space="0" w:color="auto"/>
            </w:tcBorders>
            <w:shd w:val="clear" w:color="auto" w:fill="auto"/>
            <w:noWrap/>
            <w:vAlign w:val="center"/>
            <w:hideMark/>
          </w:tcPr>
          <w:p w14:paraId="5166F57D" w14:textId="77777777" w:rsidR="00AC6CBD" w:rsidRPr="0034190C" w:rsidRDefault="00AC6CBD" w:rsidP="00785817">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43</w:t>
            </w:r>
          </w:p>
        </w:tc>
        <w:tc>
          <w:tcPr>
            <w:tcW w:w="720" w:type="dxa"/>
            <w:vMerge/>
            <w:tcBorders>
              <w:left w:val="single" w:sz="4" w:space="0" w:color="auto"/>
              <w:right w:val="single" w:sz="4" w:space="0" w:color="auto"/>
            </w:tcBorders>
            <w:vAlign w:val="center"/>
            <w:hideMark/>
          </w:tcPr>
          <w:p w14:paraId="75E48D68" w14:textId="77777777" w:rsidR="00AC6CBD" w:rsidRPr="005D5411" w:rsidRDefault="00AC6CBD" w:rsidP="00785817">
            <w:pPr>
              <w:rPr>
                <w:rFonts w:ascii="Arial Narrow" w:eastAsia="Times New Roman" w:hAnsi="Arial Narrow" w:cs="Arial"/>
                <w:b/>
                <w:sz w:val="18"/>
                <w:szCs w:val="18"/>
              </w:rPr>
            </w:pPr>
          </w:p>
        </w:tc>
      </w:tr>
      <w:tr w:rsidR="00AC6CBD" w:rsidRPr="0034190C" w14:paraId="6C6433DC" w14:textId="77777777" w:rsidTr="00785817">
        <w:trPr>
          <w:trHeight w:val="360"/>
        </w:trPr>
        <w:tc>
          <w:tcPr>
            <w:tcW w:w="422" w:type="dxa"/>
            <w:tcBorders>
              <w:top w:val="nil"/>
              <w:left w:val="nil"/>
              <w:bottom w:val="nil"/>
              <w:right w:val="nil"/>
            </w:tcBorders>
            <w:shd w:val="clear" w:color="auto" w:fill="auto"/>
            <w:noWrap/>
            <w:vAlign w:val="center"/>
            <w:hideMark/>
          </w:tcPr>
          <w:p w14:paraId="1DE428B4" w14:textId="2DEBF0D9" w:rsidR="00AC6CBD" w:rsidRPr="0034190C" w:rsidRDefault="00AC6CBD" w:rsidP="00EB746C">
            <w:pPr>
              <w:jc w:val="center"/>
              <w:rPr>
                <w:rFonts w:ascii="Arial Narrow" w:eastAsia="Times New Roman" w:hAnsi="Arial Narrow" w:cs="Arial"/>
                <w:sz w:val="16"/>
                <w:szCs w:val="16"/>
              </w:rPr>
            </w:pPr>
            <w:r>
              <w:rPr>
                <w:rFonts w:ascii="Arial Narrow" w:eastAsia="Times New Roman" w:hAnsi="Arial Narrow" w:cs="Arial"/>
                <w:sz w:val="16"/>
                <w:szCs w:val="16"/>
              </w:rPr>
              <w:t>10</w:t>
            </w:r>
          </w:p>
        </w:tc>
        <w:tc>
          <w:tcPr>
            <w:tcW w:w="2079" w:type="dxa"/>
            <w:tcBorders>
              <w:left w:val="single" w:sz="4" w:space="0" w:color="auto"/>
            </w:tcBorders>
            <w:shd w:val="clear" w:color="auto" w:fill="auto"/>
            <w:noWrap/>
            <w:vAlign w:val="center"/>
            <w:hideMark/>
          </w:tcPr>
          <w:p w14:paraId="54FA3577" w14:textId="77777777" w:rsidR="00AC6CBD" w:rsidRPr="0034190C" w:rsidRDefault="00AC6CBD" w:rsidP="00EB746C">
            <w:pPr>
              <w:jc w:val="right"/>
              <w:rPr>
                <w:rFonts w:ascii="Arial Narrow" w:eastAsia="Times New Roman" w:hAnsi="Arial Narrow" w:cs="Arial"/>
                <w:sz w:val="18"/>
                <w:szCs w:val="18"/>
              </w:rPr>
            </w:pPr>
            <w:r w:rsidRPr="0034190C">
              <w:rPr>
                <w:rFonts w:ascii="Arial Narrow" w:eastAsia="Times New Roman" w:hAnsi="Arial Narrow" w:cs="Arial"/>
                <w:sz w:val="18"/>
                <w:szCs w:val="18"/>
              </w:rPr>
              <w:t>Set Yone Su 1</w:t>
            </w:r>
          </w:p>
        </w:tc>
        <w:tc>
          <w:tcPr>
            <w:tcW w:w="897" w:type="dxa"/>
            <w:tcBorders>
              <w:right w:val="single" w:sz="4" w:space="0" w:color="auto"/>
            </w:tcBorders>
            <w:shd w:val="clear" w:color="auto" w:fill="auto"/>
            <w:noWrap/>
            <w:vAlign w:val="center"/>
            <w:hideMark/>
          </w:tcPr>
          <w:p w14:paraId="1DE1F94A"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SYS 1</w:t>
            </w:r>
          </w:p>
        </w:tc>
        <w:tc>
          <w:tcPr>
            <w:tcW w:w="1076" w:type="dxa"/>
            <w:vMerge/>
            <w:tcBorders>
              <w:left w:val="single" w:sz="4" w:space="0" w:color="auto"/>
              <w:bottom w:val="single" w:sz="4" w:space="0" w:color="auto"/>
              <w:right w:val="single" w:sz="4" w:space="0" w:color="auto"/>
            </w:tcBorders>
            <w:vAlign w:val="center"/>
            <w:hideMark/>
          </w:tcPr>
          <w:p w14:paraId="0125444F" w14:textId="405B67D5" w:rsidR="00AC6CBD" w:rsidRPr="0034190C" w:rsidRDefault="00AC6CBD" w:rsidP="00785817">
            <w:pPr>
              <w:jc w:val="center"/>
              <w:rPr>
                <w:rFonts w:ascii="Arial Narrow" w:eastAsia="Times New Roman" w:hAnsi="Arial Narrow" w:cs="Arial"/>
                <w:sz w:val="18"/>
                <w:szCs w:val="18"/>
              </w:rPr>
            </w:pPr>
          </w:p>
        </w:tc>
        <w:tc>
          <w:tcPr>
            <w:tcW w:w="1037" w:type="dxa"/>
            <w:tcBorders>
              <w:left w:val="nil"/>
              <w:right w:val="single" w:sz="4" w:space="0" w:color="auto"/>
            </w:tcBorders>
            <w:shd w:val="clear" w:color="auto" w:fill="auto"/>
            <w:noWrap/>
            <w:vAlign w:val="center"/>
            <w:hideMark/>
          </w:tcPr>
          <w:p w14:paraId="0DBA3590"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Maramargyi</w:t>
            </w:r>
          </w:p>
        </w:tc>
        <w:tc>
          <w:tcPr>
            <w:tcW w:w="1033" w:type="dxa"/>
            <w:tcBorders>
              <w:left w:val="nil"/>
              <w:right w:val="single" w:sz="4" w:space="0" w:color="auto"/>
            </w:tcBorders>
            <w:vAlign w:val="center"/>
          </w:tcPr>
          <w:p w14:paraId="3BA584E5"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OGB</w:t>
            </w:r>
          </w:p>
        </w:tc>
        <w:tc>
          <w:tcPr>
            <w:tcW w:w="791" w:type="dxa"/>
            <w:tcBorders>
              <w:left w:val="single" w:sz="4" w:space="0" w:color="auto"/>
              <w:right w:val="single" w:sz="4" w:space="0" w:color="auto"/>
            </w:tcBorders>
            <w:shd w:val="clear" w:color="auto" w:fill="auto"/>
            <w:noWrap/>
            <w:vAlign w:val="center"/>
            <w:hideMark/>
          </w:tcPr>
          <w:p w14:paraId="57E81148"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435 </w:t>
            </w:r>
          </w:p>
        </w:tc>
        <w:tc>
          <w:tcPr>
            <w:tcW w:w="810" w:type="dxa"/>
            <w:tcBorders>
              <w:left w:val="nil"/>
              <w:right w:val="single" w:sz="4" w:space="0" w:color="auto"/>
            </w:tcBorders>
            <w:shd w:val="clear" w:color="auto" w:fill="auto"/>
            <w:noWrap/>
            <w:vAlign w:val="center"/>
            <w:hideMark/>
          </w:tcPr>
          <w:p w14:paraId="7CEBCF45"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79</w:t>
            </w:r>
          </w:p>
        </w:tc>
        <w:tc>
          <w:tcPr>
            <w:tcW w:w="630" w:type="dxa"/>
            <w:tcBorders>
              <w:left w:val="nil"/>
              <w:right w:val="single" w:sz="4" w:space="0" w:color="auto"/>
            </w:tcBorders>
            <w:shd w:val="clear" w:color="auto" w:fill="auto"/>
            <w:noWrap/>
            <w:vAlign w:val="center"/>
            <w:hideMark/>
          </w:tcPr>
          <w:p w14:paraId="7D7B7B48" w14:textId="77777777" w:rsidR="00AC6CBD" w:rsidRPr="0034190C" w:rsidRDefault="00AC6CBD" w:rsidP="00EB746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 </w:t>
            </w:r>
          </w:p>
        </w:tc>
        <w:tc>
          <w:tcPr>
            <w:tcW w:w="720" w:type="dxa"/>
            <w:vMerge/>
            <w:tcBorders>
              <w:left w:val="single" w:sz="4" w:space="0" w:color="auto"/>
              <w:right w:val="single" w:sz="4" w:space="0" w:color="auto"/>
            </w:tcBorders>
            <w:vAlign w:val="center"/>
            <w:hideMark/>
          </w:tcPr>
          <w:p w14:paraId="053564AF" w14:textId="77777777" w:rsidR="00AC6CBD" w:rsidRPr="005D5411" w:rsidRDefault="00AC6CBD" w:rsidP="00EB746C">
            <w:pPr>
              <w:rPr>
                <w:rFonts w:ascii="Arial Narrow" w:eastAsia="Times New Roman" w:hAnsi="Arial Narrow" w:cs="Arial"/>
                <w:b/>
                <w:sz w:val="18"/>
                <w:szCs w:val="18"/>
              </w:rPr>
            </w:pPr>
          </w:p>
        </w:tc>
      </w:tr>
      <w:tr w:rsidR="00AC6CBD" w:rsidRPr="0034190C" w14:paraId="2B6E91AA" w14:textId="77777777" w:rsidTr="00785817">
        <w:trPr>
          <w:trHeight w:val="360"/>
        </w:trPr>
        <w:tc>
          <w:tcPr>
            <w:tcW w:w="422" w:type="dxa"/>
            <w:tcBorders>
              <w:top w:val="nil"/>
              <w:left w:val="nil"/>
              <w:bottom w:val="nil"/>
              <w:right w:val="nil"/>
            </w:tcBorders>
            <w:shd w:val="clear" w:color="auto" w:fill="auto"/>
            <w:noWrap/>
            <w:vAlign w:val="center"/>
            <w:hideMark/>
          </w:tcPr>
          <w:p w14:paraId="5E7A3E11" w14:textId="4F8383E1" w:rsidR="00AC6CBD" w:rsidRPr="0034190C" w:rsidRDefault="00AC6CBD" w:rsidP="00EB746C">
            <w:pPr>
              <w:jc w:val="center"/>
              <w:rPr>
                <w:rFonts w:ascii="Arial Narrow" w:eastAsia="Times New Roman" w:hAnsi="Arial Narrow" w:cs="Arial"/>
                <w:sz w:val="16"/>
                <w:szCs w:val="16"/>
              </w:rPr>
            </w:pPr>
            <w:r>
              <w:rPr>
                <w:rFonts w:ascii="Arial Narrow" w:eastAsia="Times New Roman" w:hAnsi="Arial Narrow" w:cs="Arial"/>
                <w:sz w:val="16"/>
                <w:szCs w:val="16"/>
              </w:rPr>
              <w:t>11</w:t>
            </w:r>
          </w:p>
        </w:tc>
        <w:tc>
          <w:tcPr>
            <w:tcW w:w="2079" w:type="dxa"/>
            <w:tcBorders>
              <w:left w:val="single" w:sz="4" w:space="0" w:color="auto"/>
            </w:tcBorders>
            <w:shd w:val="clear" w:color="auto" w:fill="auto"/>
            <w:noWrap/>
            <w:vAlign w:val="center"/>
            <w:hideMark/>
          </w:tcPr>
          <w:p w14:paraId="12ABF695" w14:textId="776F2D36" w:rsidR="00AC6CBD" w:rsidRPr="0034190C" w:rsidRDefault="00290D65" w:rsidP="00EB746C">
            <w:pPr>
              <w:jc w:val="right"/>
              <w:rPr>
                <w:rFonts w:ascii="Arial Narrow" w:eastAsia="Times New Roman" w:hAnsi="Arial Narrow" w:cs="Arial"/>
                <w:sz w:val="18"/>
                <w:szCs w:val="18"/>
              </w:rPr>
            </w:pPr>
            <w:r>
              <w:rPr>
                <w:rFonts w:ascii="Arial Narrow" w:eastAsia="Times New Roman" w:hAnsi="Arial Narrow" w:cs="Arial"/>
                <w:sz w:val="18"/>
                <w:szCs w:val="18"/>
              </w:rPr>
              <w:t>Set Y</w:t>
            </w:r>
            <w:r w:rsidR="00AC6CBD" w:rsidRPr="0034190C">
              <w:rPr>
                <w:rFonts w:ascii="Arial Narrow" w:eastAsia="Times New Roman" w:hAnsi="Arial Narrow" w:cs="Arial"/>
                <w:sz w:val="18"/>
                <w:szCs w:val="18"/>
              </w:rPr>
              <w:t>oe Kya 2</w:t>
            </w:r>
          </w:p>
        </w:tc>
        <w:tc>
          <w:tcPr>
            <w:tcW w:w="897" w:type="dxa"/>
            <w:tcBorders>
              <w:right w:val="single" w:sz="4" w:space="0" w:color="auto"/>
            </w:tcBorders>
            <w:shd w:val="clear" w:color="auto" w:fill="auto"/>
            <w:noWrap/>
            <w:vAlign w:val="center"/>
            <w:hideMark/>
          </w:tcPr>
          <w:p w14:paraId="6A1F74E3"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SYK 2</w:t>
            </w:r>
          </w:p>
        </w:tc>
        <w:tc>
          <w:tcPr>
            <w:tcW w:w="1076" w:type="dxa"/>
            <w:vMerge/>
            <w:tcBorders>
              <w:left w:val="single" w:sz="4" w:space="0" w:color="auto"/>
              <w:bottom w:val="single" w:sz="4" w:space="0" w:color="auto"/>
              <w:right w:val="single" w:sz="4" w:space="0" w:color="auto"/>
            </w:tcBorders>
            <w:vAlign w:val="center"/>
            <w:hideMark/>
          </w:tcPr>
          <w:p w14:paraId="53D42299" w14:textId="1109F83E" w:rsidR="00AC6CBD" w:rsidRPr="0034190C" w:rsidRDefault="00AC6CBD" w:rsidP="00785817">
            <w:pPr>
              <w:jc w:val="center"/>
              <w:rPr>
                <w:rFonts w:ascii="Arial Narrow" w:eastAsia="Times New Roman" w:hAnsi="Arial Narrow" w:cs="Arial"/>
                <w:sz w:val="18"/>
                <w:szCs w:val="18"/>
              </w:rPr>
            </w:pPr>
          </w:p>
        </w:tc>
        <w:tc>
          <w:tcPr>
            <w:tcW w:w="1037" w:type="dxa"/>
            <w:tcBorders>
              <w:left w:val="nil"/>
              <w:right w:val="single" w:sz="4" w:space="0" w:color="auto"/>
            </w:tcBorders>
            <w:shd w:val="clear" w:color="000000" w:fill="CCFFCC"/>
            <w:noWrap/>
            <w:vAlign w:val="center"/>
            <w:hideMark/>
          </w:tcPr>
          <w:p w14:paraId="0C402446"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Rakhine</w:t>
            </w:r>
          </w:p>
        </w:tc>
        <w:tc>
          <w:tcPr>
            <w:tcW w:w="1033" w:type="dxa"/>
            <w:tcBorders>
              <w:left w:val="nil"/>
              <w:right w:val="single" w:sz="4" w:space="0" w:color="auto"/>
            </w:tcBorders>
            <w:vAlign w:val="center"/>
          </w:tcPr>
          <w:p w14:paraId="13BC38FF"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OGB</w:t>
            </w:r>
          </w:p>
        </w:tc>
        <w:tc>
          <w:tcPr>
            <w:tcW w:w="791" w:type="dxa"/>
            <w:tcBorders>
              <w:left w:val="single" w:sz="4" w:space="0" w:color="auto"/>
              <w:right w:val="single" w:sz="4" w:space="0" w:color="auto"/>
            </w:tcBorders>
            <w:shd w:val="clear" w:color="auto" w:fill="auto"/>
            <w:noWrap/>
            <w:vAlign w:val="center"/>
            <w:hideMark/>
          </w:tcPr>
          <w:p w14:paraId="36E33E84"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1,984 </w:t>
            </w:r>
          </w:p>
        </w:tc>
        <w:tc>
          <w:tcPr>
            <w:tcW w:w="810" w:type="dxa"/>
            <w:tcBorders>
              <w:left w:val="nil"/>
              <w:right w:val="single" w:sz="4" w:space="0" w:color="auto"/>
            </w:tcBorders>
            <w:shd w:val="clear" w:color="auto" w:fill="auto"/>
            <w:noWrap/>
            <w:vAlign w:val="center"/>
            <w:hideMark/>
          </w:tcPr>
          <w:p w14:paraId="46E22A6A"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361</w:t>
            </w:r>
          </w:p>
        </w:tc>
        <w:tc>
          <w:tcPr>
            <w:tcW w:w="630" w:type="dxa"/>
            <w:tcBorders>
              <w:left w:val="nil"/>
              <w:right w:val="single" w:sz="4" w:space="0" w:color="auto"/>
            </w:tcBorders>
            <w:shd w:val="clear" w:color="auto" w:fill="CCFFCC"/>
            <w:noWrap/>
            <w:vAlign w:val="center"/>
            <w:hideMark/>
          </w:tcPr>
          <w:p w14:paraId="6D8203E4" w14:textId="77777777" w:rsidR="00AC6CBD" w:rsidRPr="0034190C" w:rsidRDefault="00AC6CBD" w:rsidP="00EB746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7</w:t>
            </w:r>
          </w:p>
        </w:tc>
        <w:tc>
          <w:tcPr>
            <w:tcW w:w="720" w:type="dxa"/>
            <w:vMerge/>
            <w:tcBorders>
              <w:left w:val="single" w:sz="4" w:space="0" w:color="auto"/>
              <w:right w:val="single" w:sz="4" w:space="0" w:color="auto"/>
            </w:tcBorders>
            <w:vAlign w:val="center"/>
            <w:hideMark/>
          </w:tcPr>
          <w:p w14:paraId="2FDC246F" w14:textId="77777777" w:rsidR="00AC6CBD" w:rsidRPr="005D5411" w:rsidRDefault="00AC6CBD" w:rsidP="00EB746C">
            <w:pPr>
              <w:rPr>
                <w:rFonts w:ascii="Arial Narrow" w:eastAsia="Times New Roman" w:hAnsi="Arial Narrow" w:cs="Arial"/>
                <w:b/>
                <w:sz w:val="18"/>
                <w:szCs w:val="18"/>
              </w:rPr>
            </w:pPr>
          </w:p>
        </w:tc>
      </w:tr>
      <w:tr w:rsidR="00AC6CBD" w:rsidRPr="0034190C" w14:paraId="733E5BDB" w14:textId="77777777" w:rsidTr="00785817">
        <w:trPr>
          <w:trHeight w:val="360"/>
        </w:trPr>
        <w:tc>
          <w:tcPr>
            <w:tcW w:w="422" w:type="dxa"/>
            <w:tcBorders>
              <w:top w:val="nil"/>
              <w:left w:val="nil"/>
              <w:bottom w:val="nil"/>
              <w:right w:val="nil"/>
            </w:tcBorders>
            <w:shd w:val="clear" w:color="auto" w:fill="auto"/>
            <w:noWrap/>
            <w:vAlign w:val="center"/>
            <w:hideMark/>
          </w:tcPr>
          <w:p w14:paraId="066B4615" w14:textId="036740C8" w:rsidR="00AC6CBD" w:rsidRPr="0034190C" w:rsidRDefault="00AC6CBD" w:rsidP="00EB746C">
            <w:pPr>
              <w:jc w:val="center"/>
              <w:rPr>
                <w:rFonts w:ascii="Arial Narrow" w:eastAsia="Times New Roman" w:hAnsi="Arial Narrow" w:cs="Arial"/>
                <w:sz w:val="16"/>
                <w:szCs w:val="16"/>
              </w:rPr>
            </w:pPr>
            <w:r>
              <w:rPr>
                <w:rFonts w:ascii="Arial Narrow" w:eastAsia="Times New Roman" w:hAnsi="Arial Narrow" w:cs="Arial"/>
                <w:sz w:val="16"/>
                <w:szCs w:val="16"/>
              </w:rPr>
              <w:t>12</w:t>
            </w:r>
          </w:p>
        </w:tc>
        <w:tc>
          <w:tcPr>
            <w:tcW w:w="2079" w:type="dxa"/>
            <w:tcBorders>
              <w:left w:val="single" w:sz="4" w:space="0" w:color="auto"/>
              <w:bottom w:val="single" w:sz="4" w:space="0" w:color="auto"/>
            </w:tcBorders>
            <w:shd w:val="clear" w:color="auto" w:fill="auto"/>
            <w:noWrap/>
            <w:vAlign w:val="center"/>
            <w:hideMark/>
          </w:tcPr>
          <w:p w14:paraId="5C6C4288" w14:textId="77777777" w:rsidR="00AC6CBD" w:rsidRPr="0034190C" w:rsidRDefault="00AC6CBD" w:rsidP="00EB746C">
            <w:pPr>
              <w:jc w:val="right"/>
              <w:rPr>
                <w:rFonts w:ascii="Arial Narrow" w:eastAsia="Times New Roman" w:hAnsi="Arial Narrow" w:cs="Arial"/>
                <w:sz w:val="18"/>
                <w:szCs w:val="18"/>
              </w:rPr>
            </w:pPr>
            <w:r w:rsidRPr="0034190C">
              <w:rPr>
                <w:rFonts w:ascii="Arial Narrow" w:eastAsia="Times New Roman" w:hAnsi="Arial Narrow" w:cs="Arial"/>
                <w:sz w:val="18"/>
                <w:szCs w:val="18"/>
              </w:rPr>
              <w:t>Set Yone Su 3</w:t>
            </w:r>
          </w:p>
        </w:tc>
        <w:tc>
          <w:tcPr>
            <w:tcW w:w="897" w:type="dxa"/>
            <w:tcBorders>
              <w:bottom w:val="single" w:sz="4" w:space="0" w:color="auto"/>
              <w:right w:val="single" w:sz="4" w:space="0" w:color="auto"/>
            </w:tcBorders>
            <w:shd w:val="clear" w:color="auto" w:fill="auto"/>
            <w:noWrap/>
            <w:vAlign w:val="center"/>
            <w:hideMark/>
          </w:tcPr>
          <w:p w14:paraId="4041505F"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SYS 3</w:t>
            </w:r>
          </w:p>
        </w:tc>
        <w:tc>
          <w:tcPr>
            <w:tcW w:w="1076" w:type="dxa"/>
            <w:vMerge/>
            <w:tcBorders>
              <w:left w:val="single" w:sz="4" w:space="0" w:color="auto"/>
              <w:bottom w:val="single" w:sz="4" w:space="0" w:color="auto"/>
              <w:right w:val="single" w:sz="4" w:space="0" w:color="auto"/>
            </w:tcBorders>
            <w:vAlign w:val="center"/>
            <w:hideMark/>
          </w:tcPr>
          <w:p w14:paraId="24B514BF" w14:textId="36481204" w:rsidR="00AC6CBD" w:rsidRPr="0034190C" w:rsidRDefault="00AC6CBD" w:rsidP="00785817">
            <w:pPr>
              <w:jc w:val="center"/>
              <w:rPr>
                <w:rFonts w:ascii="Arial Narrow" w:eastAsia="Times New Roman" w:hAnsi="Arial Narrow" w:cs="Arial"/>
                <w:sz w:val="18"/>
                <w:szCs w:val="18"/>
              </w:rPr>
            </w:pPr>
          </w:p>
        </w:tc>
        <w:tc>
          <w:tcPr>
            <w:tcW w:w="1037" w:type="dxa"/>
            <w:tcBorders>
              <w:left w:val="nil"/>
              <w:bottom w:val="single" w:sz="4" w:space="0" w:color="000000"/>
              <w:right w:val="single" w:sz="4" w:space="0" w:color="auto"/>
            </w:tcBorders>
            <w:shd w:val="clear" w:color="000000" w:fill="CCFFCC"/>
            <w:noWrap/>
            <w:vAlign w:val="center"/>
            <w:hideMark/>
          </w:tcPr>
          <w:p w14:paraId="51E99AC2"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Rakhine</w:t>
            </w:r>
          </w:p>
        </w:tc>
        <w:tc>
          <w:tcPr>
            <w:tcW w:w="1033" w:type="dxa"/>
            <w:tcBorders>
              <w:left w:val="nil"/>
              <w:bottom w:val="single" w:sz="4" w:space="0" w:color="auto"/>
              <w:right w:val="single" w:sz="4" w:space="0" w:color="auto"/>
            </w:tcBorders>
            <w:vAlign w:val="center"/>
          </w:tcPr>
          <w:p w14:paraId="09E2E73C"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OGB</w:t>
            </w:r>
          </w:p>
        </w:tc>
        <w:tc>
          <w:tcPr>
            <w:tcW w:w="791" w:type="dxa"/>
            <w:tcBorders>
              <w:left w:val="single" w:sz="4" w:space="0" w:color="auto"/>
              <w:bottom w:val="single" w:sz="4" w:space="0" w:color="auto"/>
              <w:right w:val="single" w:sz="4" w:space="0" w:color="auto"/>
            </w:tcBorders>
            <w:shd w:val="clear" w:color="auto" w:fill="auto"/>
            <w:noWrap/>
            <w:vAlign w:val="center"/>
            <w:hideMark/>
          </w:tcPr>
          <w:p w14:paraId="60CDABB5"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779 </w:t>
            </w:r>
          </w:p>
        </w:tc>
        <w:tc>
          <w:tcPr>
            <w:tcW w:w="810" w:type="dxa"/>
            <w:tcBorders>
              <w:left w:val="nil"/>
              <w:bottom w:val="single" w:sz="4" w:space="0" w:color="auto"/>
              <w:right w:val="single" w:sz="4" w:space="0" w:color="auto"/>
            </w:tcBorders>
            <w:shd w:val="clear" w:color="auto" w:fill="auto"/>
            <w:noWrap/>
            <w:vAlign w:val="center"/>
            <w:hideMark/>
          </w:tcPr>
          <w:p w14:paraId="4D412076"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142</w:t>
            </w:r>
          </w:p>
        </w:tc>
        <w:tc>
          <w:tcPr>
            <w:tcW w:w="630" w:type="dxa"/>
            <w:tcBorders>
              <w:left w:val="nil"/>
              <w:bottom w:val="single" w:sz="4" w:space="0" w:color="auto"/>
              <w:right w:val="single" w:sz="4" w:space="0" w:color="auto"/>
            </w:tcBorders>
            <w:shd w:val="clear" w:color="auto" w:fill="CCFFCC"/>
            <w:noWrap/>
            <w:vAlign w:val="center"/>
            <w:hideMark/>
          </w:tcPr>
          <w:p w14:paraId="5687234F" w14:textId="77777777" w:rsidR="00AC6CBD" w:rsidRPr="0034190C" w:rsidRDefault="00AC6CBD" w:rsidP="00EB746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2</w:t>
            </w:r>
          </w:p>
        </w:tc>
        <w:tc>
          <w:tcPr>
            <w:tcW w:w="720" w:type="dxa"/>
            <w:vMerge/>
            <w:tcBorders>
              <w:left w:val="single" w:sz="4" w:space="0" w:color="auto"/>
              <w:bottom w:val="single" w:sz="4" w:space="0" w:color="auto"/>
              <w:right w:val="single" w:sz="4" w:space="0" w:color="auto"/>
            </w:tcBorders>
            <w:vAlign w:val="center"/>
            <w:hideMark/>
          </w:tcPr>
          <w:p w14:paraId="196282BD" w14:textId="77777777" w:rsidR="00AC6CBD" w:rsidRPr="005D5411" w:rsidRDefault="00AC6CBD" w:rsidP="00EB746C">
            <w:pPr>
              <w:rPr>
                <w:rFonts w:ascii="Arial Narrow" w:eastAsia="Times New Roman" w:hAnsi="Arial Narrow" w:cs="Arial"/>
                <w:b/>
                <w:sz w:val="18"/>
                <w:szCs w:val="18"/>
              </w:rPr>
            </w:pPr>
          </w:p>
        </w:tc>
      </w:tr>
      <w:tr w:rsidR="00AC6CBD" w:rsidRPr="0034190C" w14:paraId="758164CE" w14:textId="77777777" w:rsidTr="00785817">
        <w:trPr>
          <w:trHeight w:val="360"/>
        </w:trPr>
        <w:tc>
          <w:tcPr>
            <w:tcW w:w="422" w:type="dxa"/>
            <w:tcBorders>
              <w:top w:val="nil"/>
              <w:left w:val="nil"/>
              <w:bottom w:val="nil"/>
              <w:right w:val="nil"/>
            </w:tcBorders>
            <w:shd w:val="clear" w:color="auto" w:fill="auto"/>
            <w:noWrap/>
            <w:vAlign w:val="center"/>
            <w:hideMark/>
          </w:tcPr>
          <w:p w14:paraId="0B9AE5CB" w14:textId="01BCC7E8" w:rsidR="00AC6CBD" w:rsidRPr="0034190C" w:rsidRDefault="00AC6CBD" w:rsidP="00B72C5B">
            <w:pPr>
              <w:rPr>
                <w:rFonts w:ascii="Arial Narrow" w:eastAsia="Times New Roman" w:hAnsi="Arial Narrow" w:cs="Arial"/>
                <w:sz w:val="16"/>
                <w:szCs w:val="16"/>
              </w:rPr>
            </w:pPr>
            <w:r>
              <w:rPr>
                <w:rFonts w:ascii="Arial Narrow" w:eastAsia="Times New Roman" w:hAnsi="Arial Narrow" w:cs="Arial"/>
                <w:sz w:val="16"/>
                <w:szCs w:val="16"/>
              </w:rPr>
              <w:t>13</w:t>
            </w:r>
          </w:p>
        </w:tc>
        <w:tc>
          <w:tcPr>
            <w:tcW w:w="2079" w:type="dxa"/>
            <w:tcBorders>
              <w:left w:val="single" w:sz="4" w:space="0" w:color="auto"/>
            </w:tcBorders>
            <w:shd w:val="clear" w:color="auto" w:fill="auto"/>
            <w:noWrap/>
            <w:vAlign w:val="center"/>
            <w:hideMark/>
          </w:tcPr>
          <w:p w14:paraId="506E44FC" w14:textId="632BD458" w:rsidR="00AC6CBD" w:rsidRPr="0034190C" w:rsidRDefault="00AC6CBD" w:rsidP="00D32176">
            <w:pPr>
              <w:jc w:val="right"/>
              <w:rPr>
                <w:rFonts w:ascii="Arial Narrow" w:eastAsia="Times New Roman" w:hAnsi="Arial Narrow" w:cs="Arial"/>
                <w:sz w:val="18"/>
                <w:szCs w:val="18"/>
              </w:rPr>
            </w:pPr>
            <w:r w:rsidRPr="0034190C">
              <w:rPr>
                <w:rFonts w:ascii="Arial Narrow" w:eastAsia="Times New Roman" w:hAnsi="Arial Narrow" w:cs="Arial"/>
                <w:sz w:val="18"/>
                <w:szCs w:val="18"/>
              </w:rPr>
              <w:t>Thet K</w:t>
            </w:r>
            <w:r w:rsidR="00D25FEF">
              <w:rPr>
                <w:rFonts w:ascii="Arial Narrow" w:eastAsia="Times New Roman" w:hAnsi="Arial Narrow" w:cs="Arial"/>
                <w:sz w:val="18"/>
                <w:szCs w:val="18"/>
              </w:rPr>
              <w:t>a</w:t>
            </w:r>
            <w:r w:rsidRPr="0034190C">
              <w:rPr>
                <w:rFonts w:ascii="Arial Narrow" w:eastAsia="Times New Roman" w:hAnsi="Arial Narrow" w:cs="Arial"/>
                <w:sz w:val="18"/>
                <w:szCs w:val="18"/>
              </w:rPr>
              <w:t>el Pyin</w:t>
            </w:r>
            <w:r>
              <w:rPr>
                <w:rFonts w:ascii="Arial Narrow" w:eastAsia="Times New Roman" w:hAnsi="Arial Narrow" w:cs="Arial"/>
                <w:sz w:val="18"/>
                <w:szCs w:val="18"/>
              </w:rPr>
              <w:t xml:space="preserve"> village</w:t>
            </w:r>
          </w:p>
        </w:tc>
        <w:tc>
          <w:tcPr>
            <w:tcW w:w="897" w:type="dxa"/>
            <w:tcBorders>
              <w:right w:val="single" w:sz="4" w:space="0" w:color="auto"/>
            </w:tcBorders>
            <w:shd w:val="clear" w:color="auto" w:fill="auto"/>
            <w:noWrap/>
            <w:vAlign w:val="center"/>
            <w:hideMark/>
          </w:tcPr>
          <w:p w14:paraId="31594E28"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TKP (v)</w:t>
            </w:r>
          </w:p>
        </w:tc>
        <w:tc>
          <w:tcPr>
            <w:tcW w:w="1076" w:type="dxa"/>
            <w:vMerge w:val="restart"/>
            <w:tcBorders>
              <w:top w:val="single" w:sz="4" w:space="0" w:color="auto"/>
              <w:left w:val="single" w:sz="4" w:space="0" w:color="auto"/>
              <w:right w:val="single" w:sz="4" w:space="0" w:color="auto"/>
            </w:tcBorders>
            <w:vAlign w:val="center"/>
            <w:hideMark/>
          </w:tcPr>
          <w:p w14:paraId="4A181E2F" w14:textId="0DAB26C8" w:rsidR="00AC6CBD" w:rsidRPr="0034190C" w:rsidRDefault="00AC6CBD" w:rsidP="00785817">
            <w:pPr>
              <w:jc w:val="center"/>
              <w:rPr>
                <w:rFonts w:ascii="Arial Narrow" w:eastAsia="Times New Roman" w:hAnsi="Arial Narrow" w:cs="Arial"/>
                <w:sz w:val="18"/>
                <w:szCs w:val="18"/>
              </w:rPr>
            </w:pPr>
            <w:r w:rsidRPr="0034190C">
              <w:rPr>
                <w:rFonts w:ascii="Arial Narrow" w:eastAsia="Times New Roman" w:hAnsi="Arial Narrow" w:cs="Arial"/>
                <w:sz w:val="18"/>
                <w:szCs w:val="18"/>
              </w:rPr>
              <w:t>Villages near IDP Camps</w:t>
            </w:r>
          </w:p>
        </w:tc>
        <w:tc>
          <w:tcPr>
            <w:tcW w:w="1037" w:type="dxa"/>
            <w:tcBorders>
              <w:left w:val="nil"/>
              <w:right w:val="single" w:sz="4" w:space="0" w:color="auto"/>
            </w:tcBorders>
            <w:shd w:val="clear" w:color="000000" w:fill="auto"/>
            <w:noWrap/>
            <w:vAlign w:val="center"/>
            <w:hideMark/>
          </w:tcPr>
          <w:p w14:paraId="1A4AE01F"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left w:val="nil"/>
              <w:right w:val="single" w:sz="4" w:space="0" w:color="auto"/>
            </w:tcBorders>
            <w:vAlign w:val="center"/>
          </w:tcPr>
          <w:p w14:paraId="4584C015"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SCI</w:t>
            </w:r>
          </w:p>
        </w:tc>
        <w:tc>
          <w:tcPr>
            <w:tcW w:w="791" w:type="dxa"/>
            <w:tcBorders>
              <w:left w:val="single" w:sz="4" w:space="0" w:color="auto"/>
              <w:right w:val="single" w:sz="4" w:space="0" w:color="auto"/>
            </w:tcBorders>
            <w:shd w:val="clear" w:color="auto" w:fill="auto"/>
            <w:noWrap/>
            <w:vAlign w:val="center"/>
            <w:hideMark/>
          </w:tcPr>
          <w:p w14:paraId="10C9AFA9"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13,367 </w:t>
            </w:r>
          </w:p>
        </w:tc>
        <w:tc>
          <w:tcPr>
            <w:tcW w:w="810" w:type="dxa"/>
            <w:tcBorders>
              <w:left w:val="nil"/>
              <w:right w:val="single" w:sz="4" w:space="0" w:color="auto"/>
            </w:tcBorders>
            <w:shd w:val="clear" w:color="auto" w:fill="auto"/>
            <w:noWrap/>
            <w:vAlign w:val="center"/>
            <w:hideMark/>
          </w:tcPr>
          <w:p w14:paraId="2464AB8E"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2,430</w:t>
            </w:r>
          </w:p>
        </w:tc>
        <w:tc>
          <w:tcPr>
            <w:tcW w:w="630" w:type="dxa"/>
            <w:tcBorders>
              <w:left w:val="nil"/>
              <w:right w:val="single" w:sz="4" w:space="0" w:color="auto"/>
            </w:tcBorders>
            <w:shd w:val="clear" w:color="auto" w:fill="auto"/>
            <w:noWrap/>
            <w:vAlign w:val="center"/>
            <w:hideMark/>
          </w:tcPr>
          <w:p w14:paraId="4516332A" w14:textId="77777777" w:rsidR="00AC6CBD" w:rsidRPr="0034190C" w:rsidRDefault="00AC6CBD" w:rsidP="0034190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47</w:t>
            </w:r>
          </w:p>
        </w:tc>
        <w:tc>
          <w:tcPr>
            <w:tcW w:w="720" w:type="dxa"/>
            <w:vMerge w:val="restart"/>
            <w:tcBorders>
              <w:left w:val="single" w:sz="4" w:space="0" w:color="auto"/>
              <w:right w:val="single" w:sz="4" w:space="0" w:color="auto"/>
            </w:tcBorders>
            <w:vAlign w:val="center"/>
            <w:hideMark/>
          </w:tcPr>
          <w:p w14:paraId="7FB59E28" w14:textId="0BA7B5B2" w:rsidR="00AC6CBD" w:rsidRPr="005D5411" w:rsidRDefault="00AC6CBD" w:rsidP="00785817">
            <w:pPr>
              <w:jc w:val="center"/>
              <w:rPr>
                <w:rFonts w:ascii="Arial Narrow" w:eastAsia="Times New Roman" w:hAnsi="Arial Narrow" w:cs="Arial"/>
                <w:b/>
                <w:sz w:val="18"/>
                <w:szCs w:val="18"/>
              </w:rPr>
            </w:pPr>
            <w:r w:rsidRPr="005D5411">
              <w:rPr>
                <w:rFonts w:ascii="Arial Narrow" w:eastAsia="Times New Roman" w:hAnsi="Arial Narrow" w:cs="Arial"/>
                <w:b/>
                <w:sz w:val="18"/>
                <w:szCs w:val="18"/>
              </w:rPr>
              <w:t>152</w:t>
            </w:r>
          </w:p>
        </w:tc>
      </w:tr>
      <w:tr w:rsidR="00AC6CBD" w:rsidRPr="0034190C" w14:paraId="04DF43B0" w14:textId="77777777" w:rsidTr="00785817">
        <w:trPr>
          <w:trHeight w:val="360"/>
        </w:trPr>
        <w:tc>
          <w:tcPr>
            <w:tcW w:w="422" w:type="dxa"/>
            <w:tcBorders>
              <w:top w:val="nil"/>
              <w:left w:val="nil"/>
              <w:bottom w:val="nil"/>
              <w:right w:val="nil"/>
            </w:tcBorders>
            <w:shd w:val="clear" w:color="auto" w:fill="auto"/>
            <w:noWrap/>
            <w:vAlign w:val="center"/>
            <w:hideMark/>
          </w:tcPr>
          <w:p w14:paraId="7D44A652" w14:textId="3C3B1DE5" w:rsidR="00AC6CBD" w:rsidRPr="0034190C" w:rsidRDefault="00AC6CBD" w:rsidP="00B72C5B">
            <w:pPr>
              <w:rPr>
                <w:rFonts w:ascii="Arial Narrow" w:eastAsia="Times New Roman" w:hAnsi="Arial Narrow" w:cs="Arial"/>
                <w:sz w:val="16"/>
                <w:szCs w:val="16"/>
              </w:rPr>
            </w:pPr>
            <w:r w:rsidRPr="0034190C">
              <w:rPr>
                <w:rFonts w:ascii="Arial Narrow" w:eastAsia="Times New Roman" w:hAnsi="Arial Narrow" w:cs="Arial"/>
                <w:sz w:val="16"/>
                <w:szCs w:val="16"/>
              </w:rPr>
              <w:t>1</w:t>
            </w:r>
            <w:r>
              <w:rPr>
                <w:rFonts w:ascii="Arial Narrow" w:eastAsia="Times New Roman" w:hAnsi="Arial Narrow" w:cs="Arial"/>
                <w:sz w:val="16"/>
                <w:szCs w:val="16"/>
              </w:rPr>
              <w:t>4</w:t>
            </w:r>
          </w:p>
        </w:tc>
        <w:tc>
          <w:tcPr>
            <w:tcW w:w="2079" w:type="dxa"/>
            <w:tcBorders>
              <w:left w:val="single" w:sz="4" w:space="0" w:color="auto"/>
            </w:tcBorders>
            <w:shd w:val="clear" w:color="auto" w:fill="auto"/>
            <w:noWrap/>
            <w:vAlign w:val="center"/>
            <w:hideMark/>
          </w:tcPr>
          <w:p w14:paraId="4DAD973E" w14:textId="60D6BAE7" w:rsidR="00AC6CBD" w:rsidRPr="0034190C" w:rsidRDefault="00AC6CBD" w:rsidP="00D32176">
            <w:pPr>
              <w:jc w:val="right"/>
              <w:rPr>
                <w:rFonts w:ascii="Arial Narrow" w:eastAsia="Times New Roman" w:hAnsi="Arial Narrow" w:cs="Arial"/>
                <w:sz w:val="18"/>
                <w:szCs w:val="18"/>
              </w:rPr>
            </w:pPr>
            <w:r>
              <w:rPr>
                <w:rFonts w:ascii="Arial Narrow" w:eastAsia="Times New Roman" w:hAnsi="Arial Narrow" w:cs="Arial"/>
                <w:sz w:val="18"/>
                <w:szCs w:val="18"/>
              </w:rPr>
              <w:t>Basara Village</w:t>
            </w:r>
          </w:p>
        </w:tc>
        <w:tc>
          <w:tcPr>
            <w:tcW w:w="897" w:type="dxa"/>
            <w:tcBorders>
              <w:right w:val="single" w:sz="4" w:space="0" w:color="auto"/>
            </w:tcBorders>
            <w:shd w:val="clear" w:color="auto" w:fill="auto"/>
            <w:noWrap/>
            <w:vAlign w:val="center"/>
            <w:hideMark/>
          </w:tcPr>
          <w:p w14:paraId="178FFE51"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BSR (v)</w:t>
            </w:r>
          </w:p>
        </w:tc>
        <w:tc>
          <w:tcPr>
            <w:tcW w:w="1076" w:type="dxa"/>
            <w:vMerge/>
            <w:tcBorders>
              <w:left w:val="single" w:sz="4" w:space="0" w:color="auto"/>
              <w:right w:val="single" w:sz="4" w:space="0" w:color="auto"/>
            </w:tcBorders>
            <w:vAlign w:val="center"/>
            <w:hideMark/>
          </w:tcPr>
          <w:p w14:paraId="0A1C2645" w14:textId="72925D2C" w:rsidR="00AC6CBD" w:rsidRPr="0034190C" w:rsidRDefault="00AC6CBD" w:rsidP="00785817">
            <w:pPr>
              <w:jc w:val="center"/>
              <w:rPr>
                <w:rFonts w:ascii="Arial Narrow" w:eastAsia="Times New Roman" w:hAnsi="Arial Narrow" w:cs="Arial"/>
                <w:sz w:val="18"/>
                <w:szCs w:val="18"/>
              </w:rPr>
            </w:pPr>
          </w:p>
        </w:tc>
        <w:tc>
          <w:tcPr>
            <w:tcW w:w="1037" w:type="dxa"/>
            <w:tcBorders>
              <w:left w:val="nil"/>
              <w:right w:val="single" w:sz="4" w:space="0" w:color="auto"/>
            </w:tcBorders>
            <w:shd w:val="clear" w:color="000000" w:fill="auto"/>
            <w:noWrap/>
            <w:vAlign w:val="center"/>
            <w:hideMark/>
          </w:tcPr>
          <w:p w14:paraId="74F4EB6C"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left w:val="nil"/>
              <w:right w:val="single" w:sz="4" w:space="0" w:color="auto"/>
            </w:tcBorders>
            <w:vAlign w:val="center"/>
          </w:tcPr>
          <w:p w14:paraId="72F87D93"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SCI</w:t>
            </w:r>
          </w:p>
        </w:tc>
        <w:tc>
          <w:tcPr>
            <w:tcW w:w="791" w:type="dxa"/>
            <w:tcBorders>
              <w:left w:val="single" w:sz="4" w:space="0" w:color="auto"/>
              <w:right w:val="single" w:sz="4" w:space="0" w:color="auto"/>
            </w:tcBorders>
            <w:shd w:val="clear" w:color="auto" w:fill="auto"/>
            <w:noWrap/>
            <w:vAlign w:val="center"/>
            <w:hideMark/>
          </w:tcPr>
          <w:p w14:paraId="41F66D9C"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627 </w:t>
            </w:r>
          </w:p>
        </w:tc>
        <w:tc>
          <w:tcPr>
            <w:tcW w:w="810" w:type="dxa"/>
            <w:tcBorders>
              <w:left w:val="nil"/>
              <w:right w:val="single" w:sz="4" w:space="0" w:color="auto"/>
            </w:tcBorders>
            <w:shd w:val="clear" w:color="auto" w:fill="auto"/>
            <w:noWrap/>
            <w:vAlign w:val="center"/>
            <w:hideMark/>
          </w:tcPr>
          <w:p w14:paraId="25D7C13B"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114</w:t>
            </w:r>
          </w:p>
        </w:tc>
        <w:tc>
          <w:tcPr>
            <w:tcW w:w="630" w:type="dxa"/>
            <w:tcBorders>
              <w:left w:val="nil"/>
              <w:right w:val="single" w:sz="4" w:space="0" w:color="auto"/>
            </w:tcBorders>
            <w:shd w:val="clear" w:color="auto" w:fill="auto"/>
            <w:noWrap/>
            <w:vAlign w:val="center"/>
            <w:hideMark/>
          </w:tcPr>
          <w:p w14:paraId="611CB9D1" w14:textId="77777777" w:rsidR="00AC6CBD" w:rsidRPr="0034190C" w:rsidRDefault="00AC6CBD" w:rsidP="0034190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2</w:t>
            </w:r>
          </w:p>
        </w:tc>
        <w:tc>
          <w:tcPr>
            <w:tcW w:w="720" w:type="dxa"/>
            <w:vMerge/>
            <w:tcBorders>
              <w:left w:val="single" w:sz="4" w:space="0" w:color="auto"/>
              <w:right w:val="single" w:sz="4" w:space="0" w:color="auto"/>
            </w:tcBorders>
            <w:vAlign w:val="center"/>
            <w:hideMark/>
          </w:tcPr>
          <w:p w14:paraId="26116869" w14:textId="14D35D1C" w:rsidR="00AC6CBD" w:rsidRPr="005D5411" w:rsidRDefault="00AC6CBD" w:rsidP="00785817">
            <w:pPr>
              <w:jc w:val="center"/>
              <w:rPr>
                <w:rFonts w:ascii="Arial Narrow" w:eastAsia="Times New Roman" w:hAnsi="Arial Narrow" w:cs="Arial"/>
                <w:b/>
                <w:sz w:val="18"/>
                <w:szCs w:val="18"/>
              </w:rPr>
            </w:pPr>
          </w:p>
        </w:tc>
      </w:tr>
      <w:tr w:rsidR="00AC6CBD" w:rsidRPr="0034190C" w14:paraId="712FFFCE" w14:textId="77777777" w:rsidTr="00785817">
        <w:trPr>
          <w:trHeight w:val="360"/>
        </w:trPr>
        <w:tc>
          <w:tcPr>
            <w:tcW w:w="422" w:type="dxa"/>
            <w:tcBorders>
              <w:top w:val="nil"/>
              <w:left w:val="nil"/>
              <w:bottom w:val="nil"/>
              <w:right w:val="nil"/>
            </w:tcBorders>
            <w:shd w:val="clear" w:color="auto" w:fill="auto"/>
            <w:noWrap/>
            <w:vAlign w:val="center"/>
            <w:hideMark/>
          </w:tcPr>
          <w:p w14:paraId="04346B9E" w14:textId="09CAB218" w:rsidR="00AC6CBD" w:rsidRPr="0034190C" w:rsidRDefault="00AC6CBD" w:rsidP="00B72C5B">
            <w:pPr>
              <w:rPr>
                <w:rFonts w:ascii="Arial Narrow" w:eastAsia="Times New Roman" w:hAnsi="Arial Narrow" w:cs="Arial"/>
                <w:sz w:val="16"/>
                <w:szCs w:val="16"/>
              </w:rPr>
            </w:pPr>
            <w:r w:rsidRPr="0034190C">
              <w:rPr>
                <w:rFonts w:ascii="Arial Narrow" w:eastAsia="Times New Roman" w:hAnsi="Arial Narrow" w:cs="Arial"/>
                <w:sz w:val="16"/>
                <w:szCs w:val="16"/>
              </w:rPr>
              <w:t>1</w:t>
            </w:r>
            <w:r>
              <w:rPr>
                <w:rFonts w:ascii="Arial Narrow" w:eastAsia="Times New Roman" w:hAnsi="Arial Narrow" w:cs="Arial"/>
                <w:sz w:val="16"/>
                <w:szCs w:val="16"/>
              </w:rPr>
              <w:t>5</w:t>
            </w:r>
          </w:p>
        </w:tc>
        <w:tc>
          <w:tcPr>
            <w:tcW w:w="2079" w:type="dxa"/>
            <w:tcBorders>
              <w:left w:val="single" w:sz="4" w:space="0" w:color="auto"/>
            </w:tcBorders>
            <w:shd w:val="clear" w:color="auto" w:fill="auto"/>
            <w:noWrap/>
            <w:vAlign w:val="center"/>
            <w:hideMark/>
          </w:tcPr>
          <w:p w14:paraId="6A11341C" w14:textId="28CD1958" w:rsidR="00AC6CBD" w:rsidRPr="0034190C" w:rsidRDefault="00AC6CBD" w:rsidP="00D32176">
            <w:pPr>
              <w:jc w:val="right"/>
              <w:rPr>
                <w:rFonts w:ascii="Arial Narrow" w:eastAsia="Times New Roman" w:hAnsi="Arial Narrow" w:cs="Arial"/>
                <w:sz w:val="18"/>
                <w:szCs w:val="18"/>
              </w:rPr>
            </w:pPr>
            <w:r w:rsidRPr="0034190C">
              <w:rPr>
                <w:rFonts w:ascii="Arial Narrow" w:eastAsia="Times New Roman" w:hAnsi="Arial Narrow" w:cs="Arial"/>
                <w:sz w:val="18"/>
                <w:szCs w:val="18"/>
              </w:rPr>
              <w:t>Ohn Taw Gyi</w:t>
            </w:r>
            <w:r>
              <w:rPr>
                <w:rFonts w:ascii="Arial Narrow" w:eastAsia="Times New Roman" w:hAnsi="Arial Narrow" w:cs="Arial"/>
                <w:sz w:val="18"/>
                <w:szCs w:val="18"/>
              </w:rPr>
              <w:t xml:space="preserve"> Village</w:t>
            </w:r>
          </w:p>
        </w:tc>
        <w:tc>
          <w:tcPr>
            <w:tcW w:w="897" w:type="dxa"/>
            <w:tcBorders>
              <w:right w:val="single" w:sz="4" w:space="0" w:color="auto"/>
            </w:tcBorders>
            <w:shd w:val="clear" w:color="auto" w:fill="auto"/>
            <w:noWrap/>
            <w:vAlign w:val="center"/>
            <w:hideMark/>
          </w:tcPr>
          <w:p w14:paraId="3108FA5A"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OTG (v)</w:t>
            </w:r>
          </w:p>
        </w:tc>
        <w:tc>
          <w:tcPr>
            <w:tcW w:w="1076" w:type="dxa"/>
            <w:vMerge/>
            <w:tcBorders>
              <w:left w:val="single" w:sz="4" w:space="0" w:color="auto"/>
              <w:right w:val="single" w:sz="4" w:space="0" w:color="auto"/>
            </w:tcBorders>
            <w:vAlign w:val="center"/>
            <w:hideMark/>
          </w:tcPr>
          <w:p w14:paraId="407922EA" w14:textId="6253ABEF" w:rsidR="00AC6CBD" w:rsidRPr="0034190C" w:rsidRDefault="00AC6CBD" w:rsidP="00785817">
            <w:pPr>
              <w:jc w:val="center"/>
              <w:rPr>
                <w:rFonts w:ascii="Arial Narrow" w:eastAsia="Times New Roman" w:hAnsi="Arial Narrow" w:cs="Arial"/>
                <w:sz w:val="18"/>
                <w:szCs w:val="18"/>
              </w:rPr>
            </w:pPr>
          </w:p>
        </w:tc>
        <w:tc>
          <w:tcPr>
            <w:tcW w:w="1037" w:type="dxa"/>
            <w:tcBorders>
              <w:left w:val="nil"/>
              <w:right w:val="single" w:sz="4" w:space="0" w:color="auto"/>
            </w:tcBorders>
            <w:shd w:val="clear" w:color="000000" w:fill="auto"/>
            <w:noWrap/>
            <w:vAlign w:val="center"/>
            <w:hideMark/>
          </w:tcPr>
          <w:p w14:paraId="023D4B25"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left w:val="nil"/>
              <w:right w:val="single" w:sz="4" w:space="0" w:color="auto"/>
            </w:tcBorders>
            <w:vAlign w:val="center"/>
          </w:tcPr>
          <w:p w14:paraId="04787FA5"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OGB</w:t>
            </w:r>
          </w:p>
        </w:tc>
        <w:tc>
          <w:tcPr>
            <w:tcW w:w="791" w:type="dxa"/>
            <w:tcBorders>
              <w:left w:val="single" w:sz="4" w:space="0" w:color="auto"/>
              <w:right w:val="single" w:sz="4" w:space="0" w:color="auto"/>
            </w:tcBorders>
            <w:shd w:val="clear" w:color="auto" w:fill="auto"/>
            <w:noWrap/>
            <w:vAlign w:val="center"/>
            <w:hideMark/>
          </w:tcPr>
          <w:p w14:paraId="1DC58F13"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2,355 </w:t>
            </w:r>
          </w:p>
        </w:tc>
        <w:tc>
          <w:tcPr>
            <w:tcW w:w="810" w:type="dxa"/>
            <w:tcBorders>
              <w:left w:val="nil"/>
              <w:right w:val="single" w:sz="4" w:space="0" w:color="auto"/>
            </w:tcBorders>
            <w:shd w:val="clear" w:color="auto" w:fill="auto"/>
            <w:noWrap/>
            <w:vAlign w:val="center"/>
            <w:hideMark/>
          </w:tcPr>
          <w:p w14:paraId="3F0E83DD"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428</w:t>
            </w:r>
          </w:p>
        </w:tc>
        <w:tc>
          <w:tcPr>
            <w:tcW w:w="630" w:type="dxa"/>
            <w:tcBorders>
              <w:left w:val="nil"/>
              <w:right w:val="single" w:sz="4" w:space="0" w:color="auto"/>
            </w:tcBorders>
            <w:shd w:val="clear" w:color="auto" w:fill="auto"/>
            <w:noWrap/>
            <w:vAlign w:val="center"/>
            <w:hideMark/>
          </w:tcPr>
          <w:p w14:paraId="2AE59A2D" w14:textId="77777777" w:rsidR="00AC6CBD" w:rsidRPr="0034190C" w:rsidRDefault="00AC6CBD" w:rsidP="0034190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8</w:t>
            </w:r>
          </w:p>
        </w:tc>
        <w:tc>
          <w:tcPr>
            <w:tcW w:w="720" w:type="dxa"/>
            <w:vMerge/>
            <w:tcBorders>
              <w:left w:val="single" w:sz="4" w:space="0" w:color="auto"/>
              <w:right w:val="single" w:sz="4" w:space="0" w:color="auto"/>
            </w:tcBorders>
            <w:vAlign w:val="center"/>
            <w:hideMark/>
          </w:tcPr>
          <w:p w14:paraId="45588D42" w14:textId="5325F8A6" w:rsidR="00AC6CBD" w:rsidRPr="005D5411" w:rsidRDefault="00AC6CBD" w:rsidP="00785817">
            <w:pPr>
              <w:jc w:val="center"/>
              <w:rPr>
                <w:rFonts w:ascii="Arial Narrow" w:eastAsia="Times New Roman" w:hAnsi="Arial Narrow" w:cs="Arial"/>
                <w:b/>
                <w:sz w:val="18"/>
                <w:szCs w:val="18"/>
              </w:rPr>
            </w:pPr>
          </w:p>
        </w:tc>
      </w:tr>
      <w:tr w:rsidR="00AC6CBD" w:rsidRPr="0034190C" w14:paraId="1E33A995" w14:textId="77777777" w:rsidTr="00785817">
        <w:trPr>
          <w:trHeight w:val="360"/>
        </w:trPr>
        <w:tc>
          <w:tcPr>
            <w:tcW w:w="422" w:type="dxa"/>
            <w:tcBorders>
              <w:top w:val="nil"/>
              <w:left w:val="nil"/>
              <w:bottom w:val="nil"/>
              <w:right w:val="nil"/>
            </w:tcBorders>
            <w:shd w:val="clear" w:color="auto" w:fill="auto"/>
            <w:noWrap/>
            <w:vAlign w:val="center"/>
            <w:hideMark/>
          </w:tcPr>
          <w:p w14:paraId="59757214" w14:textId="018C6EAC" w:rsidR="00AC6CBD" w:rsidRPr="0034190C" w:rsidRDefault="00AC6CBD" w:rsidP="0034190C">
            <w:pPr>
              <w:jc w:val="center"/>
              <w:rPr>
                <w:rFonts w:ascii="Arial Narrow" w:eastAsia="Times New Roman" w:hAnsi="Arial Narrow" w:cs="Arial"/>
                <w:sz w:val="16"/>
                <w:szCs w:val="16"/>
              </w:rPr>
            </w:pPr>
            <w:r>
              <w:rPr>
                <w:rFonts w:ascii="Arial Narrow" w:eastAsia="Times New Roman" w:hAnsi="Arial Narrow" w:cs="Arial"/>
                <w:sz w:val="16"/>
                <w:szCs w:val="16"/>
              </w:rPr>
              <w:t>16</w:t>
            </w:r>
          </w:p>
        </w:tc>
        <w:tc>
          <w:tcPr>
            <w:tcW w:w="2079" w:type="dxa"/>
            <w:tcBorders>
              <w:left w:val="single" w:sz="4" w:space="0" w:color="auto"/>
            </w:tcBorders>
            <w:shd w:val="clear" w:color="auto" w:fill="auto"/>
            <w:noWrap/>
            <w:vAlign w:val="center"/>
            <w:hideMark/>
          </w:tcPr>
          <w:p w14:paraId="09A64701" w14:textId="69F97973" w:rsidR="00AC6CBD" w:rsidRPr="0034190C" w:rsidRDefault="00AC6CBD" w:rsidP="00D32176">
            <w:pPr>
              <w:jc w:val="right"/>
              <w:rPr>
                <w:rFonts w:ascii="Arial Narrow" w:eastAsia="Times New Roman" w:hAnsi="Arial Narrow" w:cs="Arial"/>
                <w:sz w:val="18"/>
                <w:szCs w:val="18"/>
              </w:rPr>
            </w:pPr>
            <w:r w:rsidRPr="0034190C">
              <w:rPr>
                <w:rFonts w:ascii="Arial Narrow" w:eastAsia="Times New Roman" w:hAnsi="Arial Narrow" w:cs="Arial"/>
                <w:sz w:val="18"/>
                <w:szCs w:val="18"/>
              </w:rPr>
              <w:t>Say Tha Mar Chay</w:t>
            </w:r>
            <w:r>
              <w:rPr>
                <w:rFonts w:ascii="Arial Narrow" w:eastAsia="Times New Roman" w:hAnsi="Arial Narrow" w:cs="Arial"/>
                <w:sz w:val="18"/>
                <w:szCs w:val="18"/>
              </w:rPr>
              <w:t xml:space="preserve"> Village</w:t>
            </w:r>
          </w:p>
        </w:tc>
        <w:tc>
          <w:tcPr>
            <w:tcW w:w="897" w:type="dxa"/>
            <w:tcBorders>
              <w:right w:val="single" w:sz="4" w:space="0" w:color="auto"/>
            </w:tcBorders>
            <w:shd w:val="clear" w:color="auto" w:fill="auto"/>
            <w:noWrap/>
            <w:vAlign w:val="center"/>
            <w:hideMark/>
          </w:tcPr>
          <w:p w14:paraId="4AFEADC1"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STMC (v)</w:t>
            </w:r>
          </w:p>
        </w:tc>
        <w:tc>
          <w:tcPr>
            <w:tcW w:w="1076" w:type="dxa"/>
            <w:vMerge/>
            <w:tcBorders>
              <w:left w:val="single" w:sz="4" w:space="0" w:color="auto"/>
              <w:right w:val="single" w:sz="4" w:space="0" w:color="auto"/>
            </w:tcBorders>
            <w:vAlign w:val="center"/>
            <w:hideMark/>
          </w:tcPr>
          <w:p w14:paraId="275CAE64" w14:textId="2D459754" w:rsidR="00AC6CBD" w:rsidRPr="0034190C" w:rsidRDefault="00AC6CBD" w:rsidP="00785817">
            <w:pPr>
              <w:jc w:val="center"/>
              <w:rPr>
                <w:rFonts w:ascii="Arial Narrow" w:eastAsia="Times New Roman" w:hAnsi="Arial Narrow" w:cs="Arial"/>
                <w:sz w:val="18"/>
                <w:szCs w:val="18"/>
              </w:rPr>
            </w:pPr>
          </w:p>
        </w:tc>
        <w:tc>
          <w:tcPr>
            <w:tcW w:w="1037" w:type="dxa"/>
            <w:tcBorders>
              <w:left w:val="nil"/>
              <w:right w:val="single" w:sz="4" w:space="0" w:color="auto"/>
            </w:tcBorders>
            <w:shd w:val="clear" w:color="000000" w:fill="auto"/>
            <w:noWrap/>
            <w:vAlign w:val="center"/>
            <w:hideMark/>
          </w:tcPr>
          <w:p w14:paraId="299AEDAC"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left w:val="nil"/>
              <w:right w:val="single" w:sz="4" w:space="0" w:color="auto"/>
            </w:tcBorders>
            <w:vAlign w:val="center"/>
          </w:tcPr>
          <w:p w14:paraId="379CB3EE"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OGB</w:t>
            </w:r>
          </w:p>
        </w:tc>
        <w:tc>
          <w:tcPr>
            <w:tcW w:w="791" w:type="dxa"/>
            <w:tcBorders>
              <w:left w:val="single" w:sz="4" w:space="0" w:color="auto"/>
              <w:right w:val="single" w:sz="4" w:space="0" w:color="auto"/>
            </w:tcBorders>
            <w:shd w:val="clear" w:color="auto" w:fill="auto"/>
            <w:noWrap/>
            <w:vAlign w:val="center"/>
            <w:hideMark/>
          </w:tcPr>
          <w:p w14:paraId="11AF8024"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480 </w:t>
            </w:r>
          </w:p>
        </w:tc>
        <w:tc>
          <w:tcPr>
            <w:tcW w:w="810" w:type="dxa"/>
            <w:tcBorders>
              <w:left w:val="nil"/>
              <w:right w:val="single" w:sz="4" w:space="0" w:color="auto"/>
            </w:tcBorders>
            <w:shd w:val="clear" w:color="auto" w:fill="auto"/>
            <w:noWrap/>
            <w:vAlign w:val="center"/>
            <w:hideMark/>
          </w:tcPr>
          <w:p w14:paraId="14D38DEB"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87</w:t>
            </w:r>
          </w:p>
        </w:tc>
        <w:tc>
          <w:tcPr>
            <w:tcW w:w="630" w:type="dxa"/>
            <w:tcBorders>
              <w:left w:val="nil"/>
              <w:right w:val="single" w:sz="4" w:space="0" w:color="auto"/>
            </w:tcBorders>
            <w:shd w:val="clear" w:color="auto" w:fill="auto"/>
            <w:noWrap/>
            <w:vAlign w:val="center"/>
            <w:hideMark/>
          </w:tcPr>
          <w:p w14:paraId="12F823A0" w14:textId="77777777" w:rsidR="00AC6CBD" w:rsidRPr="0034190C" w:rsidRDefault="00AC6CBD" w:rsidP="0034190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 </w:t>
            </w:r>
          </w:p>
        </w:tc>
        <w:tc>
          <w:tcPr>
            <w:tcW w:w="720" w:type="dxa"/>
            <w:vMerge/>
            <w:tcBorders>
              <w:left w:val="single" w:sz="4" w:space="0" w:color="auto"/>
              <w:right w:val="single" w:sz="4" w:space="0" w:color="auto"/>
            </w:tcBorders>
            <w:vAlign w:val="center"/>
            <w:hideMark/>
          </w:tcPr>
          <w:p w14:paraId="547B6DE4" w14:textId="5F9B1365" w:rsidR="00AC6CBD" w:rsidRPr="005D5411" w:rsidRDefault="00AC6CBD" w:rsidP="00785817">
            <w:pPr>
              <w:jc w:val="center"/>
              <w:rPr>
                <w:rFonts w:ascii="Arial Narrow" w:eastAsia="Times New Roman" w:hAnsi="Arial Narrow" w:cs="Arial"/>
                <w:b/>
                <w:sz w:val="18"/>
                <w:szCs w:val="18"/>
              </w:rPr>
            </w:pPr>
          </w:p>
        </w:tc>
      </w:tr>
      <w:tr w:rsidR="00AC6CBD" w:rsidRPr="0034190C" w14:paraId="684CDF82" w14:textId="77777777" w:rsidTr="00785817">
        <w:trPr>
          <w:trHeight w:val="360"/>
        </w:trPr>
        <w:tc>
          <w:tcPr>
            <w:tcW w:w="422" w:type="dxa"/>
            <w:tcBorders>
              <w:top w:val="nil"/>
              <w:left w:val="nil"/>
              <w:bottom w:val="nil"/>
              <w:right w:val="nil"/>
            </w:tcBorders>
            <w:shd w:val="clear" w:color="auto" w:fill="auto"/>
            <w:noWrap/>
            <w:vAlign w:val="center"/>
            <w:hideMark/>
          </w:tcPr>
          <w:p w14:paraId="3EFD863B" w14:textId="3B5436F2" w:rsidR="00AC6CBD" w:rsidRPr="0034190C" w:rsidRDefault="00AC6CBD" w:rsidP="0034190C">
            <w:pPr>
              <w:jc w:val="center"/>
              <w:rPr>
                <w:rFonts w:ascii="Arial Narrow" w:eastAsia="Times New Roman" w:hAnsi="Arial Narrow" w:cs="Arial"/>
                <w:sz w:val="16"/>
                <w:szCs w:val="16"/>
              </w:rPr>
            </w:pPr>
            <w:r>
              <w:rPr>
                <w:rFonts w:ascii="Arial Narrow" w:eastAsia="Times New Roman" w:hAnsi="Arial Narrow" w:cs="Arial"/>
                <w:sz w:val="16"/>
                <w:szCs w:val="16"/>
              </w:rPr>
              <w:t>17</w:t>
            </w:r>
          </w:p>
        </w:tc>
        <w:tc>
          <w:tcPr>
            <w:tcW w:w="2079" w:type="dxa"/>
            <w:tcBorders>
              <w:left w:val="single" w:sz="4" w:space="0" w:color="auto"/>
            </w:tcBorders>
            <w:shd w:val="clear" w:color="auto" w:fill="auto"/>
            <w:noWrap/>
            <w:vAlign w:val="center"/>
            <w:hideMark/>
          </w:tcPr>
          <w:p w14:paraId="1F135BC1" w14:textId="5F520E3F" w:rsidR="00AC6CBD" w:rsidRPr="0034190C" w:rsidRDefault="00AC6CBD" w:rsidP="00D32176">
            <w:pPr>
              <w:jc w:val="right"/>
              <w:rPr>
                <w:rFonts w:ascii="Arial Narrow" w:eastAsia="Times New Roman" w:hAnsi="Arial Narrow" w:cs="Arial"/>
                <w:sz w:val="18"/>
                <w:szCs w:val="18"/>
              </w:rPr>
            </w:pPr>
            <w:r w:rsidRPr="0034190C">
              <w:rPr>
                <w:rFonts w:ascii="Arial Narrow" w:eastAsia="Times New Roman" w:hAnsi="Arial Narrow" w:cs="Arial"/>
                <w:sz w:val="18"/>
                <w:szCs w:val="18"/>
              </w:rPr>
              <w:t>Say Tha Mar Gyi</w:t>
            </w:r>
            <w:r>
              <w:rPr>
                <w:rFonts w:ascii="Arial Narrow" w:eastAsia="Times New Roman" w:hAnsi="Arial Narrow" w:cs="Arial"/>
                <w:sz w:val="18"/>
                <w:szCs w:val="18"/>
              </w:rPr>
              <w:t xml:space="preserve"> Village</w:t>
            </w:r>
          </w:p>
        </w:tc>
        <w:tc>
          <w:tcPr>
            <w:tcW w:w="897" w:type="dxa"/>
            <w:tcBorders>
              <w:right w:val="single" w:sz="4" w:space="0" w:color="auto"/>
            </w:tcBorders>
            <w:shd w:val="clear" w:color="auto" w:fill="auto"/>
            <w:noWrap/>
            <w:vAlign w:val="center"/>
            <w:hideMark/>
          </w:tcPr>
          <w:p w14:paraId="44B3B82E"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STMG (v)</w:t>
            </w:r>
          </w:p>
        </w:tc>
        <w:tc>
          <w:tcPr>
            <w:tcW w:w="1076" w:type="dxa"/>
            <w:vMerge/>
            <w:tcBorders>
              <w:left w:val="single" w:sz="4" w:space="0" w:color="auto"/>
              <w:right w:val="single" w:sz="4" w:space="0" w:color="auto"/>
            </w:tcBorders>
            <w:vAlign w:val="center"/>
            <w:hideMark/>
          </w:tcPr>
          <w:p w14:paraId="3DAD97F9" w14:textId="65998147" w:rsidR="00AC6CBD" w:rsidRPr="0034190C" w:rsidRDefault="00AC6CBD" w:rsidP="00785817">
            <w:pPr>
              <w:jc w:val="center"/>
              <w:rPr>
                <w:rFonts w:ascii="Arial Narrow" w:eastAsia="Times New Roman" w:hAnsi="Arial Narrow" w:cs="Arial"/>
                <w:sz w:val="18"/>
                <w:szCs w:val="18"/>
              </w:rPr>
            </w:pPr>
          </w:p>
        </w:tc>
        <w:tc>
          <w:tcPr>
            <w:tcW w:w="1037" w:type="dxa"/>
            <w:tcBorders>
              <w:left w:val="nil"/>
              <w:right w:val="single" w:sz="4" w:space="0" w:color="auto"/>
            </w:tcBorders>
            <w:shd w:val="clear" w:color="000000" w:fill="auto"/>
            <w:noWrap/>
            <w:vAlign w:val="center"/>
            <w:hideMark/>
          </w:tcPr>
          <w:p w14:paraId="47AC0E70"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left w:val="nil"/>
              <w:right w:val="single" w:sz="4" w:space="0" w:color="auto"/>
            </w:tcBorders>
            <w:vAlign w:val="center"/>
          </w:tcPr>
          <w:p w14:paraId="2EB2B681"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OGB</w:t>
            </w:r>
          </w:p>
        </w:tc>
        <w:tc>
          <w:tcPr>
            <w:tcW w:w="791" w:type="dxa"/>
            <w:tcBorders>
              <w:left w:val="single" w:sz="4" w:space="0" w:color="auto"/>
              <w:right w:val="single" w:sz="4" w:space="0" w:color="auto"/>
            </w:tcBorders>
            <w:shd w:val="clear" w:color="auto" w:fill="auto"/>
            <w:noWrap/>
            <w:vAlign w:val="center"/>
            <w:hideMark/>
          </w:tcPr>
          <w:p w14:paraId="19104836"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1,214 </w:t>
            </w:r>
          </w:p>
        </w:tc>
        <w:tc>
          <w:tcPr>
            <w:tcW w:w="810" w:type="dxa"/>
            <w:tcBorders>
              <w:left w:val="nil"/>
              <w:right w:val="single" w:sz="4" w:space="0" w:color="auto"/>
            </w:tcBorders>
            <w:shd w:val="clear" w:color="auto" w:fill="auto"/>
            <w:noWrap/>
            <w:vAlign w:val="center"/>
            <w:hideMark/>
          </w:tcPr>
          <w:p w14:paraId="20AEEED3" w14:textId="77777777" w:rsidR="00AC6CBD" w:rsidRPr="0034190C" w:rsidRDefault="00AC6CBD"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221</w:t>
            </w:r>
          </w:p>
        </w:tc>
        <w:tc>
          <w:tcPr>
            <w:tcW w:w="630" w:type="dxa"/>
            <w:tcBorders>
              <w:left w:val="nil"/>
              <w:right w:val="single" w:sz="4" w:space="0" w:color="auto"/>
            </w:tcBorders>
            <w:shd w:val="clear" w:color="auto" w:fill="auto"/>
            <w:noWrap/>
            <w:vAlign w:val="center"/>
            <w:hideMark/>
          </w:tcPr>
          <w:p w14:paraId="720CD8C2" w14:textId="77777777" w:rsidR="00AC6CBD" w:rsidRPr="0034190C" w:rsidRDefault="00AC6CBD" w:rsidP="0034190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6</w:t>
            </w:r>
          </w:p>
        </w:tc>
        <w:tc>
          <w:tcPr>
            <w:tcW w:w="720" w:type="dxa"/>
            <w:vMerge/>
            <w:tcBorders>
              <w:left w:val="single" w:sz="4" w:space="0" w:color="auto"/>
              <w:right w:val="single" w:sz="4" w:space="0" w:color="auto"/>
            </w:tcBorders>
            <w:vAlign w:val="center"/>
            <w:hideMark/>
          </w:tcPr>
          <w:p w14:paraId="71E48EF2" w14:textId="1D280DD8" w:rsidR="00AC6CBD" w:rsidRPr="005D5411" w:rsidRDefault="00AC6CBD" w:rsidP="00785817">
            <w:pPr>
              <w:jc w:val="center"/>
              <w:rPr>
                <w:rFonts w:ascii="Arial Narrow" w:eastAsia="Times New Roman" w:hAnsi="Arial Narrow" w:cs="Arial"/>
                <w:b/>
                <w:sz w:val="18"/>
                <w:szCs w:val="18"/>
              </w:rPr>
            </w:pPr>
          </w:p>
        </w:tc>
      </w:tr>
      <w:tr w:rsidR="00AC6CBD" w:rsidRPr="0034190C" w14:paraId="5DAE96A6" w14:textId="77777777" w:rsidTr="00AC6CBD">
        <w:trPr>
          <w:trHeight w:val="360"/>
        </w:trPr>
        <w:tc>
          <w:tcPr>
            <w:tcW w:w="422" w:type="dxa"/>
            <w:tcBorders>
              <w:top w:val="nil"/>
              <w:left w:val="nil"/>
              <w:bottom w:val="nil"/>
              <w:right w:val="nil"/>
            </w:tcBorders>
            <w:shd w:val="clear" w:color="auto" w:fill="auto"/>
            <w:noWrap/>
            <w:vAlign w:val="center"/>
            <w:hideMark/>
          </w:tcPr>
          <w:p w14:paraId="303CF083" w14:textId="4DB82603" w:rsidR="00AC6CBD" w:rsidRPr="0034190C" w:rsidRDefault="00AC6CBD" w:rsidP="00785817">
            <w:pPr>
              <w:jc w:val="center"/>
              <w:rPr>
                <w:rFonts w:ascii="Arial Narrow" w:eastAsia="Times New Roman" w:hAnsi="Arial Narrow" w:cs="Arial"/>
                <w:sz w:val="16"/>
                <w:szCs w:val="16"/>
              </w:rPr>
            </w:pPr>
            <w:r>
              <w:rPr>
                <w:rFonts w:ascii="Arial Narrow" w:eastAsia="Times New Roman" w:hAnsi="Arial Narrow" w:cs="Arial"/>
                <w:sz w:val="16"/>
                <w:szCs w:val="16"/>
              </w:rPr>
              <w:t>18</w:t>
            </w:r>
          </w:p>
        </w:tc>
        <w:tc>
          <w:tcPr>
            <w:tcW w:w="2079" w:type="dxa"/>
            <w:tcBorders>
              <w:top w:val="nil"/>
              <w:left w:val="single" w:sz="4" w:space="0" w:color="auto"/>
            </w:tcBorders>
            <w:shd w:val="clear" w:color="auto" w:fill="auto"/>
            <w:noWrap/>
            <w:vAlign w:val="center"/>
            <w:hideMark/>
          </w:tcPr>
          <w:p w14:paraId="2CE3A91C" w14:textId="2E7BEC7A" w:rsidR="00AC6CBD" w:rsidRPr="0034190C" w:rsidRDefault="00D25FEF" w:rsidP="00785817">
            <w:pPr>
              <w:jc w:val="right"/>
              <w:rPr>
                <w:rFonts w:ascii="Arial Narrow" w:eastAsia="Times New Roman" w:hAnsi="Arial Narrow" w:cs="Arial"/>
                <w:sz w:val="18"/>
                <w:szCs w:val="18"/>
              </w:rPr>
            </w:pPr>
            <w:r>
              <w:rPr>
                <w:rFonts w:ascii="Arial Narrow" w:eastAsia="Times New Roman" w:hAnsi="Arial Narrow" w:cs="Arial"/>
                <w:sz w:val="18"/>
                <w:szCs w:val="18"/>
              </w:rPr>
              <w:t>Teh</w:t>
            </w:r>
            <w:r w:rsidR="00AC6CBD" w:rsidRPr="0034190C">
              <w:rPr>
                <w:rFonts w:ascii="Arial Narrow" w:eastAsia="Times New Roman" w:hAnsi="Arial Narrow" w:cs="Arial"/>
                <w:sz w:val="18"/>
                <w:szCs w:val="18"/>
              </w:rPr>
              <w:t xml:space="preserve"> Chaung Village</w:t>
            </w:r>
          </w:p>
        </w:tc>
        <w:tc>
          <w:tcPr>
            <w:tcW w:w="897" w:type="dxa"/>
            <w:tcBorders>
              <w:top w:val="nil"/>
              <w:right w:val="single" w:sz="4" w:space="0" w:color="auto"/>
            </w:tcBorders>
            <w:shd w:val="clear" w:color="auto" w:fill="auto"/>
            <w:noWrap/>
            <w:vAlign w:val="center"/>
            <w:hideMark/>
          </w:tcPr>
          <w:p w14:paraId="34DB50A5"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TC (v)</w:t>
            </w:r>
          </w:p>
        </w:tc>
        <w:tc>
          <w:tcPr>
            <w:tcW w:w="1076" w:type="dxa"/>
            <w:vMerge/>
            <w:tcBorders>
              <w:left w:val="single" w:sz="4" w:space="0" w:color="auto"/>
              <w:right w:val="single" w:sz="4" w:space="0" w:color="auto"/>
            </w:tcBorders>
            <w:vAlign w:val="center"/>
            <w:hideMark/>
          </w:tcPr>
          <w:p w14:paraId="5CB189A1" w14:textId="3A897659" w:rsidR="00AC6CBD" w:rsidRPr="0034190C" w:rsidRDefault="00AC6CBD" w:rsidP="00785817">
            <w:pPr>
              <w:jc w:val="center"/>
              <w:rPr>
                <w:rFonts w:ascii="Arial Narrow" w:eastAsia="Times New Roman" w:hAnsi="Arial Narrow" w:cs="Arial"/>
                <w:sz w:val="18"/>
                <w:szCs w:val="18"/>
              </w:rPr>
            </w:pPr>
          </w:p>
        </w:tc>
        <w:tc>
          <w:tcPr>
            <w:tcW w:w="1037" w:type="dxa"/>
            <w:tcBorders>
              <w:left w:val="nil"/>
              <w:right w:val="single" w:sz="4" w:space="0" w:color="auto"/>
            </w:tcBorders>
            <w:shd w:val="clear" w:color="000000" w:fill="auto"/>
            <w:noWrap/>
            <w:vAlign w:val="center"/>
            <w:hideMark/>
          </w:tcPr>
          <w:p w14:paraId="21F9CE77" w14:textId="77777777" w:rsidR="00AC6CBD" w:rsidRPr="0034190C" w:rsidRDefault="00AC6CBD" w:rsidP="00785817">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left w:val="nil"/>
              <w:right w:val="single" w:sz="4" w:space="0" w:color="auto"/>
            </w:tcBorders>
            <w:vAlign w:val="center"/>
          </w:tcPr>
          <w:p w14:paraId="07727111" w14:textId="77777777" w:rsidR="00AC6CBD" w:rsidRPr="0034190C" w:rsidRDefault="00AC6CBD" w:rsidP="00785817">
            <w:pPr>
              <w:jc w:val="center"/>
              <w:rPr>
                <w:rFonts w:ascii="Arial Narrow" w:eastAsia="Times New Roman" w:hAnsi="Arial Narrow" w:cs="Arial"/>
                <w:sz w:val="18"/>
                <w:szCs w:val="18"/>
              </w:rPr>
            </w:pPr>
            <w:r w:rsidRPr="0034190C">
              <w:rPr>
                <w:rFonts w:ascii="Arial Narrow" w:eastAsia="Times New Roman" w:hAnsi="Arial Narrow" w:cs="Arial"/>
                <w:sz w:val="18"/>
                <w:szCs w:val="18"/>
              </w:rPr>
              <w:t>SI</w:t>
            </w:r>
          </w:p>
        </w:tc>
        <w:tc>
          <w:tcPr>
            <w:tcW w:w="791" w:type="dxa"/>
            <w:tcBorders>
              <w:left w:val="single" w:sz="4" w:space="0" w:color="auto"/>
              <w:right w:val="single" w:sz="4" w:space="0" w:color="auto"/>
            </w:tcBorders>
            <w:shd w:val="clear" w:color="auto" w:fill="auto"/>
            <w:noWrap/>
            <w:vAlign w:val="center"/>
            <w:hideMark/>
          </w:tcPr>
          <w:p w14:paraId="4C6857BE" w14:textId="77777777" w:rsidR="00AC6CBD" w:rsidRPr="0034190C" w:rsidRDefault="00AC6CBD" w:rsidP="00785817">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13,774 </w:t>
            </w:r>
          </w:p>
        </w:tc>
        <w:tc>
          <w:tcPr>
            <w:tcW w:w="810" w:type="dxa"/>
            <w:tcBorders>
              <w:top w:val="nil"/>
              <w:left w:val="nil"/>
              <w:right w:val="single" w:sz="4" w:space="0" w:color="auto"/>
            </w:tcBorders>
            <w:shd w:val="clear" w:color="auto" w:fill="auto"/>
            <w:noWrap/>
            <w:vAlign w:val="center"/>
            <w:hideMark/>
          </w:tcPr>
          <w:p w14:paraId="59FAE133" w14:textId="77777777" w:rsidR="00AC6CBD" w:rsidRPr="0034190C" w:rsidRDefault="00AC6CBD" w:rsidP="00785817">
            <w:pPr>
              <w:jc w:val="center"/>
              <w:rPr>
                <w:rFonts w:ascii="Arial Narrow" w:eastAsia="Times New Roman" w:hAnsi="Arial Narrow" w:cs="Arial"/>
                <w:sz w:val="18"/>
                <w:szCs w:val="18"/>
              </w:rPr>
            </w:pPr>
            <w:r w:rsidRPr="0034190C">
              <w:rPr>
                <w:rFonts w:ascii="Arial Narrow" w:eastAsia="Times New Roman" w:hAnsi="Arial Narrow" w:cs="Arial"/>
                <w:sz w:val="18"/>
                <w:szCs w:val="18"/>
              </w:rPr>
              <w:t>2,504</w:t>
            </w:r>
          </w:p>
        </w:tc>
        <w:tc>
          <w:tcPr>
            <w:tcW w:w="630" w:type="dxa"/>
            <w:tcBorders>
              <w:top w:val="nil"/>
              <w:left w:val="nil"/>
              <w:right w:val="single" w:sz="4" w:space="0" w:color="auto"/>
            </w:tcBorders>
            <w:shd w:val="clear" w:color="auto" w:fill="auto"/>
            <w:noWrap/>
            <w:vAlign w:val="center"/>
            <w:hideMark/>
          </w:tcPr>
          <w:p w14:paraId="089E3ED1" w14:textId="77777777" w:rsidR="00AC6CBD" w:rsidRPr="0034190C" w:rsidRDefault="00AC6CBD" w:rsidP="00785817">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48</w:t>
            </w:r>
          </w:p>
        </w:tc>
        <w:tc>
          <w:tcPr>
            <w:tcW w:w="720" w:type="dxa"/>
            <w:vMerge/>
            <w:tcBorders>
              <w:left w:val="single" w:sz="4" w:space="0" w:color="auto"/>
              <w:right w:val="single" w:sz="4" w:space="0" w:color="auto"/>
            </w:tcBorders>
            <w:shd w:val="clear" w:color="auto" w:fill="auto"/>
            <w:noWrap/>
            <w:vAlign w:val="center"/>
            <w:hideMark/>
          </w:tcPr>
          <w:p w14:paraId="39DC90DF" w14:textId="0EFF232F" w:rsidR="00AC6CBD" w:rsidRPr="005D5411" w:rsidRDefault="00AC6CBD" w:rsidP="00785817">
            <w:pPr>
              <w:jc w:val="center"/>
              <w:rPr>
                <w:rFonts w:ascii="Arial Narrow" w:eastAsia="Times New Roman" w:hAnsi="Arial Narrow" w:cs="Arial"/>
                <w:b/>
                <w:sz w:val="18"/>
                <w:szCs w:val="18"/>
              </w:rPr>
            </w:pPr>
          </w:p>
        </w:tc>
      </w:tr>
      <w:tr w:rsidR="00AC6CBD" w:rsidRPr="0034190C" w14:paraId="369B0A49" w14:textId="77777777" w:rsidTr="00785817">
        <w:trPr>
          <w:trHeight w:val="360"/>
        </w:trPr>
        <w:tc>
          <w:tcPr>
            <w:tcW w:w="422" w:type="dxa"/>
            <w:tcBorders>
              <w:top w:val="nil"/>
              <w:left w:val="nil"/>
              <w:bottom w:val="nil"/>
              <w:right w:val="nil"/>
            </w:tcBorders>
            <w:shd w:val="clear" w:color="auto" w:fill="auto"/>
            <w:noWrap/>
            <w:vAlign w:val="center"/>
            <w:hideMark/>
          </w:tcPr>
          <w:p w14:paraId="0DD63DC4" w14:textId="3DA01ABC" w:rsidR="00AC6CBD" w:rsidRPr="0034190C" w:rsidRDefault="00AC6CBD" w:rsidP="00785817">
            <w:pPr>
              <w:rPr>
                <w:rFonts w:ascii="Arial Narrow" w:eastAsia="Times New Roman" w:hAnsi="Arial Narrow" w:cs="Arial"/>
                <w:sz w:val="16"/>
                <w:szCs w:val="16"/>
              </w:rPr>
            </w:pPr>
            <w:r>
              <w:rPr>
                <w:rFonts w:ascii="Arial Narrow" w:eastAsia="Times New Roman" w:hAnsi="Arial Narrow" w:cs="Arial"/>
                <w:sz w:val="16"/>
                <w:szCs w:val="16"/>
              </w:rPr>
              <w:t>19</w:t>
            </w:r>
          </w:p>
        </w:tc>
        <w:tc>
          <w:tcPr>
            <w:tcW w:w="2079" w:type="dxa"/>
            <w:tcBorders>
              <w:left w:val="single" w:sz="4" w:space="0" w:color="auto"/>
            </w:tcBorders>
            <w:shd w:val="clear" w:color="auto" w:fill="auto"/>
            <w:noWrap/>
            <w:vAlign w:val="center"/>
            <w:hideMark/>
          </w:tcPr>
          <w:p w14:paraId="6F0C4B69" w14:textId="77777777" w:rsidR="00AC6CBD" w:rsidRPr="0034190C" w:rsidRDefault="00AC6CBD" w:rsidP="00785817">
            <w:pPr>
              <w:jc w:val="right"/>
              <w:rPr>
                <w:rFonts w:ascii="Arial Narrow" w:eastAsia="Times New Roman" w:hAnsi="Arial Narrow" w:cs="Arial"/>
                <w:sz w:val="18"/>
                <w:szCs w:val="18"/>
              </w:rPr>
            </w:pPr>
            <w:r w:rsidRPr="0034190C">
              <w:rPr>
                <w:rFonts w:ascii="Arial Narrow" w:eastAsia="Times New Roman" w:hAnsi="Arial Narrow" w:cs="Arial"/>
                <w:sz w:val="18"/>
                <w:szCs w:val="18"/>
              </w:rPr>
              <w:t>Dar Paing Village</w:t>
            </w:r>
          </w:p>
        </w:tc>
        <w:tc>
          <w:tcPr>
            <w:tcW w:w="897" w:type="dxa"/>
            <w:tcBorders>
              <w:right w:val="single" w:sz="4" w:space="0" w:color="auto"/>
            </w:tcBorders>
            <w:shd w:val="clear" w:color="auto" w:fill="auto"/>
            <w:noWrap/>
            <w:vAlign w:val="center"/>
            <w:hideMark/>
          </w:tcPr>
          <w:p w14:paraId="45B5F8B9"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DP (v)</w:t>
            </w:r>
          </w:p>
        </w:tc>
        <w:tc>
          <w:tcPr>
            <w:tcW w:w="1076" w:type="dxa"/>
            <w:vMerge/>
            <w:tcBorders>
              <w:left w:val="single" w:sz="4" w:space="0" w:color="auto"/>
              <w:right w:val="single" w:sz="4" w:space="0" w:color="auto"/>
            </w:tcBorders>
            <w:vAlign w:val="center"/>
            <w:hideMark/>
          </w:tcPr>
          <w:p w14:paraId="7113BB87" w14:textId="77777777" w:rsidR="00AC6CBD" w:rsidRPr="0034190C" w:rsidRDefault="00AC6CBD" w:rsidP="00785817">
            <w:pPr>
              <w:rPr>
                <w:rFonts w:ascii="Arial Narrow" w:eastAsia="Times New Roman" w:hAnsi="Arial Narrow" w:cs="Arial"/>
                <w:sz w:val="18"/>
                <w:szCs w:val="18"/>
              </w:rPr>
            </w:pPr>
          </w:p>
        </w:tc>
        <w:tc>
          <w:tcPr>
            <w:tcW w:w="1037" w:type="dxa"/>
            <w:tcBorders>
              <w:left w:val="nil"/>
              <w:right w:val="single" w:sz="4" w:space="0" w:color="auto"/>
            </w:tcBorders>
            <w:shd w:val="clear" w:color="000000" w:fill="auto"/>
            <w:noWrap/>
            <w:vAlign w:val="center"/>
            <w:hideMark/>
          </w:tcPr>
          <w:p w14:paraId="1D0E2095" w14:textId="77777777" w:rsidR="00AC6CBD" w:rsidRPr="0034190C" w:rsidRDefault="00AC6CBD" w:rsidP="00785817">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left w:val="nil"/>
              <w:right w:val="single" w:sz="4" w:space="0" w:color="auto"/>
            </w:tcBorders>
            <w:vAlign w:val="center"/>
          </w:tcPr>
          <w:p w14:paraId="4204B564" w14:textId="77777777" w:rsidR="00AC6CBD" w:rsidRPr="0034190C" w:rsidRDefault="00AC6CBD" w:rsidP="00785817">
            <w:pPr>
              <w:jc w:val="center"/>
              <w:rPr>
                <w:rFonts w:ascii="Arial Narrow" w:eastAsia="Times New Roman" w:hAnsi="Arial Narrow" w:cs="Arial"/>
                <w:sz w:val="18"/>
                <w:szCs w:val="18"/>
              </w:rPr>
            </w:pPr>
            <w:r w:rsidRPr="0034190C">
              <w:rPr>
                <w:rFonts w:ascii="Arial Narrow" w:eastAsia="Times New Roman" w:hAnsi="Arial Narrow" w:cs="Arial"/>
                <w:sz w:val="18"/>
                <w:szCs w:val="18"/>
              </w:rPr>
              <w:t>SI</w:t>
            </w:r>
          </w:p>
        </w:tc>
        <w:tc>
          <w:tcPr>
            <w:tcW w:w="791" w:type="dxa"/>
            <w:tcBorders>
              <w:left w:val="single" w:sz="4" w:space="0" w:color="auto"/>
              <w:right w:val="single" w:sz="4" w:space="0" w:color="auto"/>
            </w:tcBorders>
            <w:shd w:val="clear" w:color="auto" w:fill="auto"/>
            <w:noWrap/>
            <w:vAlign w:val="center"/>
            <w:hideMark/>
          </w:tcPr>
          <w:p w14:paraId="49AF9F2F" w14:textId="77777777" w:rsidR="00AC6CBD" w:rsidRPr="0034190C" w:rsidRDefault="00AC6CBD" w:rsidP="00785817">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10,703 </w:t>
            </w:r>
          </w:p>
        </w:tc>
        <w:tc>
          <w:tcPr>
            <w:tcW w:w="810" w:type="dxa"/>
            <w:tcBorders>
              <w:left w:val="nil"/>
              <w:right w:val="single" w:sz="4" w:space="0" w:color="auto"/>
            </w:tcBorders>
            <w:shd w:val="clear" w:color="auto" w:fill="auto"/>
            <w:noWrap/>
            <w:vAlign w:val="center"/>
            <w:hideMark/>
          </w:tcPr>
          <w:p w14:paraId="717AB074" w14:textId="77777777" w:rsidR="00AC6CBD" w:rsidRPr="0034190C" w:rsidRDefault="00AC6CBD" w:rsidP="00785817">
            <w:pPr>
              <w:jc w:val="center"/>
              <w:rPr>
                <w:rFonts w:ascii="Arial Narrow" w:eastAsia="Times New Roman" w:hAnsi="Arial Narrow" w:cs="Arial"/>
                <w:sz w:val="18"/>
                <w:szCs w:val="18"/>
              </w:rPr>
            </w:pPr>
            <w:r w:rsidRPr="0034190C">
              <w:rPr>
                <w:rFonts w:ascii="Arial Narrow" w:eastAsia="Times New Roman" w:hAnsi="Arial Narrow" w:cs="Arial"/>
                <w:sz w:val="18"/>
                <w:szCs w:val="18"/>
              </w:rPr>
              <w:t>1,946</w:t>
            </w:r>
          </w:p>
        </w:tc>
        <w:tc>
          <w:tcPr>
            <w:tcW w:w="630" w:type="dxa"/>
            <w:tcBorders>
              <w:left w:val="nil"/>
              <w:right w:val="single" w:sz="4" w:space="0" w:color="auto"/>
            </w:tcBorders>
            <w:shd w:val="clear" w:color="auto" w:fill="auto"/>
            <w:noWrap/>
            <w:vAlign w:val="center"/>
            <w:hideMark/>
          </w:tcPr>
          <w:p w14:paraId="0AD03EF1" w14:textId="77777777" w:rsidR="00AC6CBD" w:rsidRPr="0034190C" w:rsidRDefault="00AC6CBD" w:rsidP="00785817">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37</w:t>
            </w:r>
          </w:p>
        </w:tc>
        <w:tc>
          <w:tcPr>
            <w:tcW w:w="720" w:type="dxa"/>
            <w:vMerge/>
            <w:tcBorders>
              <w:left w:val="single" w:sz="4" w:space="0" w:color="auto"/>
              <w:right w:val="single" w:sz="4" w:space="0" w:color="auto"/>
            </w:tcBorders>
            <w:vAlign w:val="center"/>
            <w:hideMark/>
          </w:tcPr>
          <w:p w14:paraId="720B4D22" w14:textId="77777777" w:rsidR="00AC6CBD" w:rsidRPr="005D5411" w:rsidRDefault="00AC6CBD" w:rsidP="00785817">
            <w:pPr>
              <w:rPr>
                <w:rFonts w:ascii="Arial Narrow" w:eastAsia="Times New Roman" w:hAnsi="Arial Narrow" w:cs="Arial"/>
                <w:b/>
                <w:sz w:val="18"/>
                <w:szCs w:val="18"/>
              </w:rPr>
            </w:pPr>
          </w:p>
        </w:tc>
      </w:tr>
      <w:tr w:rsidR="00AC6CBD" w:rsidRPr="0034190C" w14:paraId="15E67DBA" w14:textId="77777777" w:rsidTr="00785817">
        <w:trPr>
          <w:trHeight w:val="360"/>
        </w:trPr>
        <w:tc>
          <w:tcPr>
            <w:tcW w:w="422" w:type="dxa"/>
            <w:tcBorders>
              <w:top w:val="nil"/>
              <w:left w:val="nil"/>
              <w:bottom w:val="nil"/>
              <w:right w:val="nil"/>
            </w:tcBorders>
            <w:shd w:val="clear" w:color="auto" w:fill="auto"/>
            <w:noWrap/>
            <w:vAlign w:val="center"/>
            <w:hideMark/>
          </w:tcPr>
          <w:p w14:paraId="2B07042F" w14:textId="5A853E5A" w:rsidR="00AC6CBD" w:rsidRPr="0034190C" w:rsidRDefault="00AC6CBD" w:rsidP="00785817">
            <w:pPr>
              <w:rPr>
                <w:rFonts w:ascii="Arial Narrow" w:eastAsia="Times New Roman" w:hAnsi="Arial Narrow" w:cs="Arial"/>
                <w:sz w:val="16"/>
                <w:szCs w:val="16"/>
              </w:rPr>
            </w:pPr>
            <w:r>
              <w:rPr>
                <w:rFonts w:ascii="Arial Narrow" w:eastAsia="Times New Roman" w:hAnsi="Arial Narrow" w:cs="Arial"/>
                <w:sz w:val="16"/>
                <w:szCs w:val="16"/>
              </w:rPr>
              <w:t>20</w:t>
            </w:r>
          </w:p>
        </w:tc>
        <w:tc>
          <w:tcPr>
            <w:tcW w:w="2079" w:type="dxa"/>
            <w:tcBorders>
              <w:left w:val="single" w:sz="4" w:space="0" w:color="auto"/>
            </w:tcBorders>
            <w:shd w:val="clear" w:color="auto" w:fill="auto"/>
            <w:noWrap/>
            <w:vAlign w:val="center"/>
            <w:hideMark/>
          </w:tcPr>
          <w:p w14:paraId="47383EB0" w14:textId="77777777" w:rsidR="00AC6CBD" w:rsidRPr="0034190C" w:rsidRDefault="00AC6CBD" w:rsidP="00785817">
            <w:pPr>
              <w:jc w:val="right"/>
              <w:rPr>
                <w:rFonts w:ascii="Arial Narrow" w:eastAsia="Times New Roman" w:hAnsi="Arial Narrow" w:cs="Arial"/>
                <w:sz w:val="18"/>
                <w:szCs w:val="18"/>
              </w:rPr>
            </w:pPr>
            <w:r w:rsidRPr="0034190C">
              <w:rPr>
                <w:rFonts w:ascii="Arial Narrow" w:eastAsia="Times New Roman" w:hAnsi="Arial Narrow" w:cs="Arial"/>
                <w:sz w:val="18"/>
                <w:szCs w:val="18"/>
              </w:rPr>
              <w:t>Baw Du Pha Village</w:t>
            </w:r>
          </w:p>
        </w:tc>
        <w:tc>
          <w:tcPr>
            <w:tcW w:w="897" w:type="dxa"/>
            <w:tcBorders>
              <w:right w:val="single" w:sz="4" w:space="0" w:color="auto"/>
            </w:tcBorders>
            <w:shd w:val="clear" w:color="auto" w:fill="auto"/>
            <w:noWrap/>
            <w:vAlign w:val="center"/>
            <w:hideMark/>
          </w:tcPr>
          <w:p w14:paraId="53C9C7F1"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BDP (v)</w:t>
            </w:r>
          </w:p>
        </w:tc>
        <w:tc>
          <w:tcPr>
            <w:tcW w:w="1076" w:type="dxa"/>
            <w:vMerge/>
            <w:tcBorders>
              <w:left w:val="single" w:sz="4" w:space="0" w:color="auto"/>
              <w:right w:val="single" w:sz="4" w:space="0" w:color="auto"/>
            </w:tcBorders>
            <w:vAlign w:val="center"/>
            <w:hideMark/>
          </w:tcPr>
          <w:p w14:paraId="7F0858DD" w14:textId="77777777" w:rsidR="00AC6CBD" w:rsidRPr="0034190C" w:rsidRDefault="00AC6CBD" w:rsidP="00785817">
            <w:pPr>
              <w:rPr>
                <w:rFonts w:ascii="Arial Narrow" w:eastAsia="Times New Roman" w:hAnsi="Arial Narrow" w:cs="Arial"/>
                <w:sz w:val="18"/>
                <w:szCs w:val="18"/>
              </w:rPr>
            </w:pPr>
          </w:p>
        </w:tc>
        <w:tc>
          <w:tcPr>
            <w:tcW w:w="1037" w:type="dxa"/>
            <w:tcBorders>
              <w:left w:val="nil"/>
              <w:right w:val="single" w:sz="4" w:space="0" w:color="auto"/>
            </w:tcBorders>
            <w:shd w:val="clear" w:color="000000" w:fill="auto"/>
            <w:noWrap/>
            <w:vAlign w:val="center"/>
            <w:hideMark/>
          </w:tcPr>
          <w:p w14:paraId="7E462133" w14:textId="77777777" w:rsidR="00AC6CBD" w:rsidRPr="0034190C" w:rsidRDefault="00AC6CBD" w:rsidP="00785817">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left w:val="nil"/>
              <w:right w:val="single" w:sz="4" w:space="0" w:color="auto"/>
            </w:tcBorders>
            <w:vAlign w:val="center"/>
          </w:tcPr>
          <w:p w14:paraId="637498BD" w14:textId="77777777" w:rsidR="00AC6CBD" w:rsidRPr="0034190C" w:rsidRDefault="00AC6CBD" w:rsidP="00785817">
            <w:pPr>
              <w:jc w:val="center"/>
              <w:rPr>
                <w:rFonts w:ascii="Arial Narrow" w:eastAsia="Times New Roman" w:hAnsi="Arial Narrow" w:cs="Arial"/>
                <w:sz w:val="18"/>
                <w:szCs w:val="18"/>
              </w:rPr>
            </w:pPr>
            <w:r w:rsidRPr="0034190C">
              <w:rPr>
                <w:rFonts w:ascii="Arial Narrow" w:eastAsia="Times New Roman" w:hAnsi="Arial Narrow" w:cs="Arial"/>
                <w:sz w:val="18"/>
                <w:szCs w:val="18"/>
              </w:rPr>
              <w:t>SI</w:t>
            </w:r>
          </w:p>
        </w:tc>
        <w:tc>
          <w:tcPr>
            <w:tcW w:w="791" w:type="dxa"/>
            <w:tcBorders>
              <w:left w:val="single" w:sz="4" w:space="0" w:color="auto"/>
              <w:right w:val="single" w:sz="4" w:space="0" w:color="auto"/>
            </w:tcBorders>
            <w:shd w:val="clear" w:color="auto" w:fill="auto"/>
            <w:noWrap/>
            <w:vAlign w:val="center"/>
            <w:hideMark/>
          </w:tcPr>
          <w:p w14:paraId="0B146434" w14:textId="77777777" w:rsidR="00AC6CBD" w:rsidRPr="0034190C" w:rsidRDefault="00AC6CBD" w:rsidP="00785817">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377 </w:t>
            </w:r>
          </w:p>
        </w:tc>
        <w:tc>
          <w:tcPr>
            <w:tcW w:w="810" w:type="dxa"/>
            <w:tcBorders>
              <w:left w:val="nil"/>
              <w:right w:val="single" w:sz="4" w:space="0" w:color="auto"/>
            </w:tcBorders>
            <w:shd w:val="clear" w:color="auto" w:fill="auto"/>
            <w:noWrap/>
            <w:vAlign w:val="center"/>
            <w:hideMark/>
          </w:tcPr>
          <w:p w14:paraId="2854D4B1" w14:textId="77777777" w:rsidR="00AC6CBD" w:rsidRPr="0034190C" w:rsidRDefault="00AC6CBD" w:rsidP="00785817">
            <w:pPr>
              <w:jc w:val="center"/>
              <w:rPr>
                <w:rFonts w:ascii="Arial Narrow" w:eastAsia="Times New Roman" w:hAnsi="Arial Narrow" w:cs="Arial"/>
                <w:sz w:val="18"/>
                <w:szCs w:val="18"/>
              </w:rPr>
            </w:pPr>
            <w:r w:rsidRPr="0034190C">
              <w:rPr>
                <w:rFonts w:ascii="Arial Narrow" w:eastAsia="Times New Roman" w:hAnsi="Arial Narrow" w:cs="Arial"/>
                <w:sz w:val="18"/>
                <w:szCs w:val="18"/>
              </w:rPr>
              <w:t>69</w:t>
            </w:r>
          </w:p>
        </w:tc>
        <w:tc>
          <w:tcPr>
            <w:tcW w:w="630" w:type="dxa"/>
            <w:tcBorders>
              <w:left w:val="nil"/>
              <w:bottom w:val="single" w:sz="4" w:space="0" w:color="FFFFFF" w:themeColor="background1"/>
              <w:right w:val="single" w:sz="4" w:space="0" w:color="auto"/>
            </w:tcBorders>
            <w:shd w:val="clear" w:color="auto" w:fill="auto"/>
            <w:noWrap/>
            <w:vAlign w:val="center"/>
            <w:hideMark/>
          </w:tcPr>
          <w:p w14:paraId="59704DCF" w14:textId="77777777" w:rsidR="00AC6CBD" w:rsidRPr="0034190C" w:rsidRDefault="00AC6CBD" w:rsidP="00785817">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2</w:t>
            </w:r>
          </w:p>
        </w:tc>
        <w:tc>
          <w:tcPr>
            <w:tcW w:w="720" w:type="dxa"/>
            <w:vMerge/>
            <w:tcBorders>
              <w:left w:val="single" w:sz="4" w:space="0" w:color="auto"/>
              <w:right w:val="single" w:sz="4" w:space="0" w:color="auto"/>
            </w:tcBorders>
            <w:vAlign w:val="center"/>
            <w:hideMark/>
          </w:tcPr>
          <w:p w14:paraId="4465F14A" w14:textId="77777777" w:rsidR="00AC6CBD" w:rsidRPr="005D5411" w:rsidRDefault="00AC6CBD" w:rsidP="00785817">
            <w:pPr>
              <w:rPr>
                <w:rFonts w:ascii="Arial Narrow" w:eastAsia="Times New Roman" w:hAnsi="Arial Narrow" w:cs="Arial"/>
                <w:b/>
                <w:sz w:val="18"/>
                <w:szCs w:val="18"/>
              </w:rPr>
            </w:pPr>
          </w:p>
        </w:tc>
      </w:tr>
      <w:tr w:rsidR="00AC6CBD" w:rsidRPr="0034190C" w14:paraId="4484EDAC" w14:textId="77777777" w:rsidTr="00785817">
        <w:trPr>
          <w:trHeight w:val="323"/>
        </w:trPr>
        <w:tc>
          <w:tcPr>
            <w:tcW w:w="422" w:type="dxa"/>
            <w:tcBorders>
              <w:top w:val="nil"/>
              <w:left w:val="nil"/>
              <w:bottom w:val="nil"/>
              <w:right w:val="nil"/>
            </w:tcBorders>
            <w:shd w:val="clear" w:color="auto" w:fill="auto"/>
            <w:noWrap/>
            <w:vAlign w:val="center"/>
            <w:hideMark/>
          </w:tcPr>
          <w:p w14:paraId="3B309A6B" w14:textId="2A19BECE" w:rsidR="00AC6CBD" w:rsidRPr="0034190C" w:rsidRDefault="00AC6CBD" w:rsidP="00EB746C">
            <w:pPr>
              <w:jc w:val="center"/>
              <w:rPr>
                <w:rFonts w:ascii="Arial Narrow" w:eastAsia="Times New Roman" w:hAnsi="Arial Narrow" w:cs="Arial"/>
                <w:sz w:val="16"/>
                <w:szCs w:val="16"/>
              </w:rPr>
            </w:pPr>
            <w:r>
              <w:rPr>
                <w:rFonts w:ascii="Arial Narrow" w:eastAsia="Times New Roman" w:hAnsi="Arial Narrow" w:cs="Arial"/>
                <w:sz w:val="16"/>
                <w:szCs w:val="16"/>
              </w:rPr>
              <w:t>21</w:t>
            </w:r>
          </w:p>
        </w:tc>
        <w:tc>
          <w:tcPr>
            <w:tcW w:w="2079" w:type="dxa"/>
            <w:tcBorders>
              <w:left w:val="single" w:sz="4" w:space="0" w:color="auto"/>
              <w:bottom w:val="single" w:sz="4" w:space="0" w:color="auto"/>
            </w:tcBorders>
            <w:shd w:val="clear" w:color="auto" w:fill="auto"/>
            <w:noWrap/>
            <w:vAlign w:val="center"/>
            <w:hideMark/>
          </w:tcPr>
          <w:p w14:paraId="52A0CA98" w14:textId="68376ADF" w:rsidR="00AC6CBD" w:rsidRPr="0034190C" w:rsidRDefault="00D25FEF" w:rsidP="00EB746C">
            <w:pPr>
              <w:jc w:val="right"/>
              <w:rPr>
                <w:rFonts w:ascii="Arial Narrow" w:eastAsia="Times New Roman" w:hAnsi="Arial Narrow" w:cs="Arial"/>
                <w:sz w:val="18"/>
                <w:szCs w:val="18"/>
              </w:rPr>
            </w:pPr>
            <w:r>
              <w:rPr>
                <w:rFonts w:ascii="Arial Narrow" w:eastAsia="Times New Roman" w:hAnsi="Arial Narrow" w:cs="Arial"/>
                <w:sz w:val="18"/>
                <w:szCs w:val="18"/>
              </w:rPr>
              <w:t>Teh</w:t>
            </w:r>
            <w:r w:rsidR="00AC6CBD" w:rsidRPr="0034190C">
              <w:rPr>
                <w:rFonts w:ascii="Arial Narrow" w:eastAsia="Times New Roman" w:hAnsi="Arial Narrow" w:cs="Arial"/>
                <w:sz w:val="18"/>
                <w:szCs w:val="18"/>
              </w:rPr>
              <w:t xml:space="preserve"> Chaung Village</w:t>
            </w:r>
          </w:p>
        </w:tc>
        <w:tc>
          <w:tcPr>
            <w:tcW w:w="897" w:type="dxa"/>
            <w:tcBorders>
              <w:bottom w:val="single" w:sz="4" w:space="0" w:color="auto"/>
              <w:right w:val="single" w:sz="4" w:space="0" w:color="auto"/>
            </w:tcBorders>
            <w:shd w:val="clear" w:color="auto" w:fill="auto"/>
            <w:noWrap/>
            <w:vAlign w:val="center"/>
            <w:hideMark/>
          </w:tcPr>
          <w:p w14:paraId="7D890D3F" w14:textId="77777777" w:rsidR="00AC6CBD" w:rsidRPr="0034190C" w:rsidRDefault="00AC6CBD" w:rsidP="00AC6CBD">
            <w:pPr>
              <w:rPr>
                <w:rFonts w:ascii="Arial Narrow" w:eastAsia="Times New Roman" w:hAnsi="Arial Narrow" w:cs="Arial"/>
                <w:sz w:val="18"/>
                <w:szCs w:val="18"/>
              </w:rPr>
            </w:pPr>
            <w:r w:rsidRPr="0034190C">
              <w:rPr>
                <w:rFonts w:ascii="Arial Narrow" w:eastAsia="Times New Roman" w:hAnsi="Arial Narrow" w:cs="Arial"/>
                <w:sz w:val="18"/>
                <w:szCs w:val="18"/>
              </w:rPr>
              <w:t>TC (v)</w:t>
            </w:r>
          </w:p>
        </w:tc>
        <w:tc>
          <w:tcPr>
            <w:tcW w:w="1076" w:type="dxa"/>
            <w:vMerge/>
            <w:tcBorders>
              <w:left w:val="single" w:sz="4" w:space="0" w:color="auto"/>
              <w:bottom w:val="single" w:sz="4" w:space="0" w:color="auto"/>
              <w:right w:val="single" w:sz="4" w:space="0" w:color="auto"/>
            </w:tcBorders>
            <w:vAlign w:val="center"/>
            <w:hideMark/>
          </w:tcPr>
          <w:p w14:paraId="0DCE1689" w14:textId="77777777" w:rsidR="00AC6CBD" w:rsidRPr="0034190C" w:rsidRDefault="00AC6CBD" w:rsidP="00EB746C">
            <w:pPr>
              <w:rPr>
                <w:rFonts w:ascii="Arial Narrow" w:eastAsia="Times New Roman" w:hAnsi="Arial Narrow" w:cs="Arial"/>
                <w:sz w:val="18"/>
                <w:szCs w:val="18"/>
              </w:rPr>
            </w:pPr>
          </w:p>
        </w:tc>
        <w:tc>
          <w:tcPr>
            <w:tcW w:w="1037" w:type="dxa"/>
            <w:tcBorders>
              <w:left w:val="nil"/>
              <w:bottom w:val="single" w:sz="4" w:space="0" w:color="000000"/>
              <w:right w:val="single" w:sz="4" w:space="0" w:color="auto"/>
            </w:tcBorders>
            <w:shd w:val="clear" w:color="000000" w:fill="CCFFCC"/>
            <w:noWrap/>
            <w:vAlign w:val="center"/>
            <w:hideMark/>
          </w:tcPr>
          <w:p w14:paraId="364347EF"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Rakhine</w:t>
            </w:r>
          </w:p>
        </w:tc>
        <w:tc>
          <w:tcPr>
            <w:tcW w:w="1033" w:type="dxa"/>
            <w:tcBorders>
              <w:left w:val="nil"/>
              <w:bottom w:val="single" w:sz="4" w:space="0" w:color="auto"/>
              <w:right w:val="single" w:sz="4" w:space="0" w:color="auto"/>
            </w:tcBorders>
            <w:vAlign w:val="center"/>
          </w:tcPr>
          <w:p w14:paraId="4E2B5E36"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SI</w:t>
            </w:r>
          </w:p>
        </w:tc>
        <w:tc>
          <w:tcPr>
            <w:tcW w:w="791" w:type="dxa"/>
            <w:tcBorders>
              <w:left w:val="single" w:sz="4" w:space="0" w:color="auto"/>
              <w:bottom w:val="single" w:sz="4" w:space="0" w:color="auto"/>
              <w:right w:val="single" w:sz="4" w:space="0" w:color="auto"/>
            </w:tcBorders>
            <w:shd w:val="clear" w:color="auto" w:fill="auto"/>
            <w:noWrap/>
            <w:vAlign w:val="center"/>
            <w:hideMark/>
          </w:tcPr>
          <w:p w14:paraId="70CA14E8"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716 </w:t>
            </w:r>
          </w:p>
        </w:tc>
        <w:tc>
          <w:tcPr>
            <w:tcW w:w="810" w:type="dxa"/>
            <w:tcBorders>
              <w:left w:val="nil"/>
              <w:bottom w:val="single" w:sz="4" w:space="0" w:color="auto"/>
              <w:right w:val="single" w:sz="4" w:space="0" w:color="auto"/>
            </w:tcBorders>
            <w:shd w:val="clear" w:color="auto" w:fill="auto"/>
            <w:noWrap/>
            <w:vAlign w:val="center"/>
            <w:hideMark/>
          </w:tcPr>
          <w:p w14:paraId="1390F993" w14:textId="77777777" w:rsidR="00AC6CBD" w:rsidRPr="0034190C" w:rsidRDefault="00AC6CBD"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130</w:t>
            </w:r>
          </w:p>
        </w:tc>
        <w:tc>
          <w:tcPr>
            <w:tcW w:w="630" w:type="dxa"/>
            <w:tcBorders>
              <w:top w:val="single" w:sz="4" w:space="0" w:color="FFFFFF" w:themeColor="background1"/>
              <w:left w:val="nil"/>
              <w:bottom w:val="single" w:sz="4" w:space="0" w:color="auto"/>
              <w:right w:val="single" w:sz="4" w:space="0" w:color="auto"/>
            </w:tcBorders>
            <w:shd w:val="clear" w:color="auto" w:fill="CCFFCC"/>
            <w:noWrap/>
            <w:vAlign w:val="center"/>
            <w:hideMark/>
          </w:tcPr>
          <w:p w14:paraId="3BC34875" w14:textId="77777777" w:rsidR="00AC6CBD" w:rsidRPr="0034190C" w:rsidRDefault="00AC6CBD" w:rsidP="00EB746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2</w:t>
            </w:r>
          </w:p>
        </w:tc>
        <w:tc>
          <w:tcPr>
            <w:tcW w:w="720" w:type="dxa"/>
            <w:vMerge/>
            <w:tcBorders>
              <w:left w:val="single" w:sz="4" w:space="0" w:color="auto"/>
              <w:bottom w:val="single" w:sz="4" w:space="0" w:color="auto"/>
              <w:right w:val="single" w:sz="4" w:space="0" w:color="auto"/>
            </w:tcBorders>
            <w:vAlign w:val="center"/>
            <w:hideMark/>
          </w:tcPr>
          <w:p w14:paraId="4DBF71FE" w14:textId="77777777" w:rsidR="00AC6CBD" w:rsidRPr="005D5411" w:rsidRDefault="00AC6CBD" w:rsidP="00EB746C">
            <w:pPr>
              <w:rPr>
                <w:rFonts w:ascii="Arial Narrow" w:eastAsia="Times New Roman" w:hAnsi="Arial Narrow" w:cs="Arial"/>
                <w:b/>
                <w:sz w:val="18"/>
                <w:szCs w:val="18"/>
              </w:rPr>
            </w:pPr>
          </w:p>
        </w:tc>
      </w:tr>
      <w:tr w:rsidR="00B72C5B" w:rsidRPr="0034190C" w14:paraId="048A4CCC" w14:textId="77777777" w:rsidTr="00B72C5B">
        <w:trPr>
          <w:trHeight w:val="360"/>
        </w:trPr>
        <w:tc>
          <w:tcPr>
            <w:tcW w:w="422" w:type="dxa"/>
            <w:tcBorders>
              <w:top w:val="nil"/>
              <w:left w:val="nil"/>
              <w:bottom w:val="nil"/>
              <w:right w:val="nil"/>
            </w:tcBorders>
            <w:shd w:val="clear" w:color="auto" w:fill="auto"/>
            <w:noWrap/>
            <w:vAlign w:val="center"/>
            <w:hideMark/>
          </w:tcPr>
          <w:p w14:paraId="1BEDA10C" w14:textId="490E41EF" w:rsidR="00B72C5B" w:rsidRPr="0034190C" w:rsidRDefault="00B72C5B" w:rsidP="0034190C">
            <w:pPr>
              <w:jc w:val="center"/>
              <w:rPr>
                <w:rFonts w:ascii="Arial Narrow" w:eastAsia="Times New Roman" w:hAnsi="Arial Narrow" w:cs="Arial"/>
                <w:sz w:val="16"/>
                <w:szCs w:val="16"/>
              </w:rPr>
            </w:pPr>
            <w:r>
              <w:rPr>
                <w:rFonts w:ascii="Arial Narrow" w:eastAsia="Times New Roman" w:hAnsi="Arial Narrow" w:cs="Arial"/>
                <w:sz w:val="16"/>
                <w:szCs w:val="16"/>
              </w:rPr>
              <w:t>22</w:t>
            </w:r>
          </w:p>
        </w:tc>
        <w:tc>
          <w:tcPr>
            <w:tcW w:w="2079" w:type="dxa"/>
            <w:tcBorders>
              <w:top w:val="nil"/>
              <w:left w:val="single" w:sz="4" w:space="0" w:color="auto"/>
              <w:bottom w:val="single" w:sz="4" w:space="0" w:color="FFFFFF" w:themeColor="background1"/>
            </w:tcBorders>
            <w:shd w:val="clear" w:color="auto" w:fill="auto"/>
            <w:noWrap/>
            <w:vAlign w:val="center"/>
            <w:hideMark/>
          </w:tcPr>
          <w:p w14:paraId="0648059B" w14:textId="1A9550D6" w:rsidR="00B72C5B" w:rsidRPr="0034190C" w:rsidRDefault="00B72C5B" w:rsidP="00D32176">
            <w:pPr>
              <w:jc w:val="right"/>
              <w:rPr>
                <w:rFonts w:ascii="Arial Narrow" w:eastAsia="Times New Roman" w:hAnsi="Arial Narrow" w:cs="Arial"/>
                <w:sz w:val="18"/>
                <w:szCs w:val="18"/>
              </w:rPr>
            </w:pPr>
            <w:r w:rsidRPr="0034190C">
              <w:rPr>
                <w:rFonts w:ascii="Arial Narrow" w:eastAsia="Times New Roman" w:hAnsi="Arial Narrow" w:cs="Arial"/>
                <w:sz w:val="18"/>
                <w:szCs w:val="18"/>
              </w:rPr>
              <w:t>Ah Lar Than</w:t>
            </w:r>
            <w:r>
              <w:rPr>
                <w:rFonts w:ascii="Arial Narrow" w:eastAsia="Times New Roman" w:hAnsi="Arial Narrow" w:cs="Arial"/>
                <w:sz w:val="18"/>
                <w:szCs w:val="18"/>
              </w:rPr>
              <w:t xml:space="preserve"> Village</w:t>
            </w:r>
          </w:p>
        </w:tc>
        <w:tc>
          <w:tcPr>
            <w:tcW w:w="897" w:type="dxa"/>
            <w:tcBorders>
              <w:top w:val="nil"/>
              <w:bottom w:val="single" w:sz="4" w:space="0" w:color="FFFFFF" w:themeColor="background1"/>
              <w:right w:val="single" w:sz="4" w:space="0" w:color="auto"/>
            </w:tcBorders>
            <w:shd w:val="clear" w:color="auto" w:fill="auto"/>
            <w:noWrap/>
            <w:vAlign w:val="center"/>
            <w:hideMark/>
          </w:tcPr>
          <w:p w14:paraId="140BC049" w14:textId="77777777" w:rsidR="00B72C5B" w:rsidRPr="0034190C" w:rsidRDefault="00B72C5B" w:rsidP="00AC6CBD">
            <w:pPr>
              <w:rPr>
                <w:rFonts w:ascii="Arial Narrow" w:eastAsia="Times New Roman" w:hAnsi="Arial Narrow" w:cs="Arial"/>
                <w:sz w:val="18"/>
                <w:szCs w:val="18"/>
              </w:rPr>
            </w:pPr>
            <w:r w:rsidRPr="0034190C">
              <w:rPr>
                <w:rFonts w:ascii="Arial Narrow" w:eastAsia="Times New Roman" w:hAnsi="Arial Narrow" w:cs="Arial"/>
                <w:sz w:val="18"/>
                <w:szCs w:val="18"/>
              </w:rPr>
              <w:t>ALT</w:t>
            </w:r>
          </w:p>
        </w:tc>
        <w:tc>
          <w:tcPr>
            <w:tcW w:w="1076" w:type="dxa"/>
            <w:vMerge w:val="restart"/>
            <w:tcBorders>
              <w:top w:val="single" w:sz="4" w:space="0" w:color="auto"/>
              <w:left w:val="single" w:sz="4" w:space="0" w:color="auto"/>
              <w:bottom w:val="single" w:sz="4" w:space="0" w:color="FFFFFF" w:themeColor="background1"/>
              <w:right w:val="single" w:sz="4" w:space="0" w:color="auto"/>
            </w:tcBorders>
            <w:shd w:val="clear" w:color="auto" w:fill="auto"/>
            <w:vAlign w:val="center"/>
            <w:hideMark/>
          </w:tcPr>
          <w:p w14:paraId="21DC741B" w14:textId="3F58B91E" w:rsidR="00B72C5B" w:rsidRPr="0034190C" w:rsidRDefault="00B72C5B"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Village</w:t>
            </w:r>
            <w:r>
              <w:rPr>
                <w:rFonts w:ascii="Arial Narrow" w:eastAsia="Times New Roman" w:hAnsi="Arial Narrow" w:cs="Arial"/>
                <w:sz w:val="18"/>
                <w:szCs w:val="18"/>
              </w:rPr>
              <w:t>s in Remote A</w:t>
            </w:r>
            <w:r w:rsidRPr="0034190C">
              <w:rPr>
                <w:rFonts w:ascii="Arial Narrow" w:eastAsia="Times New Roman" w:hAnsi="Arial Narrow" w:cs="Arial"/>
                <w:sz w:val="18"/>
                <w:szCs w:val="18"/>
              </w:rPr>
              <w:t>rea</w:t>
            </w:r>
            <w:r>
              <w:rPr>
                <w:rFonts w:ascii="Arial Narrow" w:eastAsia="Times New Roman" w:hAnsi="Arial Narrow" w:cs="Arial"/>
                <w:sz w:val="18"/>
                <w:szCs w:val="18"/>
              </w:rPr>
              <w:t>s</w:t>
            </w:r>
          </w:p>
        </w:tc>
        <w:tc>
          <w:tcPr>
            <w:tcW w:w="1037" w:type="dxa"/>
            <w:tcBorders>
              <w:top w:val="single" w:sz="4" w:space="0" w:color="000000"/>
              <w:left w:val="nil"/>
              <w:bottom w:val="single" w:sz="4" w:space="0" w:color="FFFFFF" w:themeColor="background1"/>
              <w:right w:val="single" w:sz="4" w:space="0" w:color="auto"/>
            </w:tcBorders>
            <w:shd w:val="clear" w:color="000000" w:fill="auto"/>
            <w:noWrap/>
            <w:vAlign w:val="center"/>
            <w:hideMark/>
          </w:tcPr>
          <w:p w14:paraId="215F0381"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top w:val="single" w:sz="4" w:space="0" w:color="auto"/>
              <w:left w:val="nil"/>
              <w:bottom w:val="single" w:sz="4" w:space="0" w:color="FFFFFF" w:themeColor="background1"/>
              <w:right w:val="single" w:sz="4" w:space="0" w:color="auto"/>
            </w:tcBorders>
            <w:vAlign w:val="center"/>
          </w:tcPr>
          <w:p w14:paraId="55164195"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ACF</w:t>
            </w:r>
          </w:p>
        </w:tc>
        <w:tc>
          <w:tcPr>
            <w:tcW w:w="791" w:type="dxa"/>
            <w:tcBorders>
              <w:top w:val="single" w:sz="4" w:space="0" w:color="auto"/>
              <w:left w:val="single" w:sz="4" w:space="0" w:color="auto"/>
              <w:bottom w:val="single" w:sz="4" w:space="0" w:color="FFFFFF" w:themeColor="background1"/>
              <w:right w:val="single" w:sz="4" w:space="0" w:color="auto"/>
            </w:tcBorders>
            <w:shd w:val="clear" w:color="auto" w:fill="auto"/>
            <w:noWrap/>
            <w:vAlign w:val="center"/>
            <w:hideMark/>
          </w:tcPr>
          <w:p w14:paraId="51DEC32D"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1,286 </w:t>
            </w:r>
          </w:p>
        </w:tc>
        <w:tc>
          <w:tcPr>
            <w:tcW w:w="810" w:type="dxa"/>
            <w:tcBorders>
              <w:top w:val="nil"/>
              <w:left w:val="nil"/>
              <w:bottom w:val="single" w:sz="4" w:space="0" w:color="FFFFFF" w:themeColor="background1"/>
              <w:right w:val="single" w:sz="4" w:space="0" w:color="auto"/>
            </w:tcBorders>
            <w:shd w:val="clear" w:color="auto" w:fill="auto"/>
            <w:noWrap/>
            <w:vAlign w:val="center"/>
            <w:hideMark/>
          </w:tcPr>
          <w:p w14:paraId="69F26B37"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234</w:t>
            </w:r>
          </w:p>
        </w:tc>
        <w:tc>
          <w:tcPr>
            <w:tcW w:w="630" w:type="dxa"/>
            <w:tcBorders>
              <w:top w:val="nil"/>
              <w:left w:val="nil"/>
              <w:bottom w:val="single" w:sz="4" w:space="0" w:color="FFFFFF" w:themeColor="background1"/>
              <w:right w:val="single" w:sz="4" w:space="0" w:color="auto"/>
            </w:tcBorders>
            <w:shd w:val="clear" w:color="auto" w:fill="auto"/>
            <w:noWrap/>
            <w:vAlign w:val="center"/>
            <w:hideMark/>
          </w:tcPr>
          <w:p w14:paraId="1407FCF7" w14:textId="77777777" w:rsidR="00B72C5B" w:rsidRPr="0034190C" w:rsidRDefault="00B72C5B" w:rsidP="0034190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4</w:t>
            </w:r>
          </w:p>
        </w:tc>
        <w:tc>
          <w:tcPr>
            <w:tcW w:w="720" w:type="dxa"/>
            <w:vMerge w:val="restart"/>
            <w:tcBorders>
              <w:top w:val="nil"/>
              <w:left w:val="single" w:sz="4" w:space="0" w:color="auto"/>
              <w:right w:val="single" w:sz="4" w:space="0" w:color="auto"/>
            </w:tcBorders>
            <w:vAlign w:val="center"/>
            <w:hideMark/>
          </w:tcPr>
          <w:p w14:paraId="11805D5C" w14:textId="6187647C" w:rsidR="00B72C5B" w:rsidRPr="0034190C" w:rsidRDefault="00B72C5B" w:rsidP="00EB746C">
            <w:pPr>
              <w:jc w:val="center"/>
              <w:rPr>
                <w:rFonts w:ascii="Arial Narrow" w:eastAsia="Times New Roman" w:hAnsi="Arial Narrow" w:cs="Arial"/>
                <w:sz w:val="18"/>
                <w:szCs w:val="18"/>
              </w:rPr>
            </w:pPr>
            <w:r w:rsidRPr="005D5411">
              <w:rPr>
                <w:rFonts w:ascii="Arial Narrow" w:eastAsia="Times New Roman" w:hAnsi="Arial Narrow" w:cs="Arial"/>
                <w:b/>
                <w:sz w:val="18"/>
                <w:szCs w:val="18"/>
              </w:rPr>
              <w:t>31</w:t>
            </w:r>
          </w:p>
        </w:tc>
      </w:tr>
      <w:tr w:rsidR="00B72C5B" w:rsidRPr="0034190C" w14:paraId="56C6F921" w14:textId="77777777" w:rsidTr="00B72C5B">
        <w:trPr>
          <w:trHeight w:val="360"/>
        </w:trPr>
        <w:tc>
          <w:tcPr>
            <w:tcW w:w="422" w:type="dxa"/>
            <w:tcBorders>
              <w:top w:val="nil"/>
              <w:left w:val="nil"/>
              <w:bottom w:val="nil"/>
              <w:right w:val="nil"/>
            </w:tcBorders>
            <w:shd w:val="clear" w:color="auto" w:fill="auto"/>
            <w:noWrap/>
            <w:vAlign w:val="center"/>
            <w:hideMark/>
          </w:tcPr>
          <w:p w14:paraId="6B9D04A5" w14:textId="1552610A" w:rsidR="00B72C5B" w:rsidRPr="0034190C" w:rsidRDefault="00B72C5B" w:rsidP="0034190C">
            <w:pPr>
              <w:jc w:val="center"/>
              <w:rPr>
                <w:rFonts w:ascii="Arial Narrow" w:eastAsia="Times New Roman" w:hAnsi="Arial Narrow" w:cs="Arial"/>
                <w:sz w:val="16"/>
                <w:szCs w:val="16"/>
              </w:rPr>
            </w:pPr>
            <w:r>
              <w:rPr>
                <w:rFonts w:ascii="Arial Narrow" w:eastAsia="Times New Roman" w:hAnsi="Arial Narrow" w:cs="Arial"/>
                <w:sz w:val="16"/>
                <w:szCs w:val="16"/>
              </w:rPr>
              <w:t>23</w:t>
            </w:r>
          </w:p>
        </w:tc>
        <w:tc>
          <w:tcPr>
            <w:tcW w:w="2079" w:type="dxa"/>
            <w:tcBorders>
              <w:top w:val="single" w:sz="4" w:space="0" w:color="FFFFFF" w:themeColor="background1"/>
              <w:left w:val="single" w:sz="4" w:space="0" w:color="auto"/>
              <w:bottom w:val="single" w:sz="4" w:space="0" w:color="FFFFFF" w:themeColor="background1"/>
            </w:tcBorders>
            <w:shd w:val="clear" w:color="auto" w:fill="auto"/>
            <w:noWrap/>
            <w:vAlign w:val="center"/>
            <w:hideMark/>
          </w:tcPr>
          <w:p w14:paraId="01C81EDD" w14:textId="21BB0907" w:rsidR="00B72C5B" w:rsidRPr="0034190C" w:rsidRDefault="00D25FEF" w:rsidP="00D32176">
            <w:pPr>
              <w:jc w:val="right"/>
              <w:rPr>
                <w:rFonts w:ascii="Arial Narrow" w:eastAsia="Times New Roman" w:hAnsi="Arial Narrow" w:cs="Arial"/>
                <w:sz w:val="18"/>
                <w:szCs w:val="18"/>
              </w:rPr>
            </w:pPr>
            <w:r>
              <w:rPr>
                <w:rFonts w:ascii="Arial Narrow" w:eastAsia="Times New Roman" w:hAnsi="Arial Narrow" w:cs="Arial"/>
                <w:sz w:val="18"/>
                <w:szCs w:val="18"/>
              </w:rPr>
              <w:t>Me La Z</w:t>
            </w:r>
            <w:r w:rsidR="00B72C5B" w:rsidRPr="0034190C">
              <w:rPr>
                <w:rFonts w:ascii="Arial Narrow" w:eastAsia="Times New Roman" w:hAnsi="Arial Narrow" w:cs="Arial"/>
                <w:sz w:val="18"/>
                <w:szCs w:val="18"/>
              </w:rPr>
              <w:t>i Kone</w:t>
            </w:r>
            <w:r w:rsidR="00B72C5B">
              <w:rPr>
                <w:rFonts w:ascii="Arial Narrow" w:eastAsia="Times New Roman" w:hAnsi="Arial Narrow" w:cs="Arial"/>
                <w:sz w:val="18"/>
                <w:szCs w:val="18"/>
              </w:rPr>
              <w:t xml:space="preserve"> Village</w:t>
            </w:r>
          </w:p>
        </w:tc>
        <w:tc>
          <w:tcPr>
            <w:tcW w:w="897" w:type="dxa"/>
            <w:tcBorders>
              <w:top w:val="single" w:sz="4" w:space="0" w:color="FFFFFF" w:themeColor="background1"/>
              <w:bottom w:val="single" w:sz="4" w:space="0" w:color="FFFFFF" w:themeColor="background1"/>
              <w:right w:val="single" w:sz="4" w:space="0" w:color="auto"/>
            </w:tcBorders>
            <w:shd w:val="clear" w:color="auto" w:fill="auto"/>
            <w:noWrap/>
            <w:vAlign w:val="center"/>
            <w:hideMark/>
          </w:tcPr>
          <w:p w14:paraId="7554AD91" w14:textId="77777777" w:rsidR="00B72C5B" w:rsidRPr="0034190C" w:rsidRDefault="00B72C5B" w:rsidP="00AC6CBD">
            <w:pPr>
              <w:rPr>
                <w:rFonts w:ascii="Arial Narrow" w:eastAsia="Times New Roman" w:hAnsi="Arial Narrow" w:cs="Arial"/>
                <w:sz w:val="18"/>
                <w:szCs w:val="18"/>
              </w:rPr>
            </w:pPr>
            <w:r w:rsidRPr="0034190C">
              <w:rPr>
                <w:rFonts w:ascii="Arial Narrow" w:eastAsia="Times New Roman" w:hAnsi="Arial Narrow" w:cs="Arial"/>
                <w:sz w:val="18"/>
                <w:szCs w:val="18"/>
              </w:rPr>
              <w:t>MLZK</w:t>
            </w:r>
          </w:p>
        </w:tc>
        <w:tc>
          <w:tcPr>
            <w:tcW w:w="1076" w:type="dxa"/>
            <w:vMerge/>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hideMark/>
          </w:tcPr>
          <w:p w14:paraId="4C93971A" w14:textId="3DF37192" w:rsidR="00B72C5B" w:rsidRPr="0034190C" w:rsidRDefault="00B72C5B" w:rsidP="00EB746C">
            <w:pPr>
              <w:jc w:val="center"/>
              <w:rPr>
                <w:rFonts w:ascii="Arial Narrow" w:eastAsia="Times New Roman" w:hAnsi="Arial Narrow" w:cs="Arial"/>
                <w:sz w:val="18"/>
                <w:szCs w:val="18"/>
              </w:rPr>
            </w:pPr>
          </w:p>
        </w:tc>
        <w:tc>
          <w:tcPr>
            <w:tcW w:w="1037" w:type="dxa"/>
            <w:tcBorders>
              <w:top w:val="single" w:sz="4" w:space="0" w:color="FFFFFF" w:themeColor="background1"/>
              <w:left w:val="nil"/>
              <w:bottom w:val="single" w:sz="4" w:space="0" w:color="FFFFFF" w:themeColor="background1"/>
              <w:right w:val="single" w:sz="4" w:space="0" w:color="auto"/>
            </w:tcBorders>
            <w:shd w:val="clear" w:color="000000" w:fill="auto"/>
            <w:noWrap/>
            <w:vAlign w:val="center"/>
            <w:hideMark/>
          </w:tcPr>
          <w:p w14:paraId="5518A1ED"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top w:val="single" w:sz="4" w:space="0" w:color="FFFFFF" w:themeColor="background1"/>
              <w:left w:val="nil"/>
              <w:bottom w:val="single" w:sz="4" w:space="0" w:color="FFFFFF" w:themeColor="background1"/>
              <w:right w:val="single" w:sz="4" w:space="0" w:color="auto"/>
            </w:tcBorders>
            <w:vAlign w:val="center"/>
          </w:tcPr>
          <w:p w14:paraId="2D08E700"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ACF</w:t>
            </w:r>
          </w:p>
        </w:tc>
        <w:tc>
          <w:tcPr>
            <w:tcW w:w="791" w:type="dxa"/>
            <w:tcBorders>
              <w:top w:val="single" w:sz="4" w:space="0" w:color="FFFFFF" w:themeColor="background1"/>
              <w:left w:val="single" w:sz="4" w:space="0" w:color="auto"/>
              <w:bottom w:val="single" w:sz="4" w:space="0" w:color="FFFFFF" w:themeColor="background1"/>
              <w:right w:val="single" w:sz="4" w:space="0" w:color="auto"/>
            </w:tcBorders>
            <w:shd w:val="clear" w:color="auto" w:fill="auto"/>
            <w:noWrap/>
            <w:vAlign w:val="center"/>
            <w:hideMark/>
          </w:tcPr>
          <w:p w14:paraId="4992C60A"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1,091 </w:t>
            </w:r>
          </w:p>
        </w:tc>
        <w:tc>
          <w:tcPr>
            <w:tcW w:w="810"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14:paraId="1EC43BB6"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196</w:t>
            </w:r>
          </w:p>
        </w:tc>
        <w:tc>
          <w:tcPr>
            <w:tcW w:w="630"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14:paraId="693372EE" w14:textId="77777777" w:rsidR="00B72C5B" w:rsidRPr="0034190C" w:rsidRDefault="00B72C5B" w:rsidP="0034190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4</w:t>
            </w:r>
          </w:p>
        </w:tc>
        <w:tc>
          <w:tcPr>
            <w:tcW w:w="720" w:type="dxa"/>
            <w:vMerge/>
            <w:tcBorders>
              <w:left w:val="single" w:sz="4" w:space="0" w:color="auto"/>
              <w:right w:val="single" w:sz="4" w:space="0" w:color="auto"/>
            </w:tcBorders>
            <w:vAlign w:val="center"/>
            <w:hideMark/>
          </w:tcPr>
          <w:p w14:paraId="75CD0F0A" w14:textId="1247A4BB" w:rsidR="00B72C5B" w:rsidRPr="0034190C" w:rsidRDefault="00B72C5B" w:rsidP="00EB746C">
            <w:pPr>
              <w:jc w:val="center"/>
              <w:rPr>
                <w:rFonts w:ascii="Arial Narrow" w:eastAsia="Times New Roman" w:hAnsi="Arial Narrow" w:cs="Arial"/>
                <w:sz w:val="18"/>
                <w:szCs w:val="18"/>
              </w:rPr>
            </w:pPr>
          </w:p>
        </w:tc>
      </w:tr>
      <w:tr w:rsidR="00B72C5B" w:rsidRPr="0034190C" w14:paraId="290C048C" w14:textId="77777777" w:rsidTr="00B72C5B">
        <w:trPr>
          <w:trHeight w:val="360"/>
        </w:trPr>
        <w:tc>
          <w:tcPr>
            <w:tcW w:w="422" w:type="dxa"/>
            <w:tcBorders>
              <w:top w:val="nil"/>
              <w:left w:val="nil"/>
              <w:bottom w:val="nil"/>
              <w:right w:val="nil"/>
            </w:tcBorders>
            <w:shd w:val="clear" w:color="auto" w:fill="auto"/>
            <w:noWrap/>
            <w:vAlign w:val="center"/>
            <w:hideMark/>
          </w:tcPr>
          <w:p w14:paraId="2A5042A1" w14:textId="77EBC14A" w:rsidR="00B72C5B" w:rsidRPr="0034190C" w:rsidRDefault="00B72C5B" w:rsidP="0034190C">
            <w:pPr>
              <w:jc w:val="center"/>
              <w:rPr>
                <w:rFonts w:ascii="Arial Narrow" w:eastAsia="Times New Roman" w:hAnsi="Arial Narrow" w:cs="Arial"/>
                <w:sz w:val="16"/>
                <w:szCs w:val="16"/>
              </w:rPr>
            </w:pPr>
            <w:r>
              <w:rPr>
                <w:rFonts w:ascii="Arial Narrow" w:eastAsia="Times New Roman" w:hAnsi="Arial Narrow" w:cs="Arial"/>
                <w:sz w:val="16"/>
                <w:szCs w:val="16"/>
              </w:rPr>
              <w:t>24</w:t>
            </w:r>
          </w:p>
        </w:tc>
        <w:tc>
          <w:tcPr>
            <w:tcW w:w="2079" w:type="dxa"/>
            <w:tcBorders>
              <w:top w:val="single" w:sz="4" w:space="0" w:color="FFFFFF" w:themeColor="background1"/>
              <w:left w:val="single" w:sz="4" w:space="0" w:color="auto"/>
              <w:bottom w:val="single" w:sz="4" w:space="0" w:color="FFFFFF" w:themeColor="background1"/>
            </w:tcBorders>
            <w:shd w:val="clear" w:color="auto" w:fill="auto"/>
            <w:noWrap/>
            <w:vAlign w:val="center"/>
            <w:hideMark/>
          </w:tcPr>
          <w:p w14:paraId="6418D395" w14:textId="45292D40" w:rsidR="00B72C5B" w:rsidRPr="0034190C" w:rsidRDefault="00B72C5B" w:rsidP="00D32176">
            <w:pPr>
              <w:jc w:val="right"/>
              <w:rPr>
                <w:rFonts w:ascii="Arial Narrow" w:eastAsia="Times New Roman" w:hAnsi="Arial Narrow" w:cs="Arial"/>
                <w:sz w:val="18"/>
                <w:szCs w:val="18"/>
              </w:rPr>
            </w:pPr>
            <w:r w:rsidRPr="0034190C">
              <w:rPr>
                <w:rFonts w:ascii="Arial Narrow" w:eastAsia="Times New Roman" w:hAnsi="Arial Narrow" w:cs="Arial"/>
                <w:sz w:val="18"/>
                <w:szCs w:val="18"/>
              </w:rPr>
              <w:t>Nga/ Pun Ywar Gyi</w:t>
            </w:r>
            <w:r>
              <w:rPr>
                <w:rFonts w:ascii="Arial Narrow" w:eastAsia="Times New Roman" w:hAnsi="Arial Narrow" w:cs="Arial"/>
                <w:sz w:val="18"/>
                <w:szCs w:val="18"/>
              </w:rPr>
              <w:t xml:space="preserve"> Village</w:t>
            </w:r>
          </w:p>
        </w:tc>
        <w:tc>
          <w:tcPr>
            <w:tcW w:w="897" w:type="dxa"/>
            <w:tcBorders>
              <w:top w:val="single" w:sz="4" w:space="0" w:color="FFFFFF" w:themeColor="background1"/>
              <w:bottom w:val="single" w:sz="4" w:space="0" w:color="FFFFFF" w:themeColor="background1"/>
              <w:right w:val="single" w:sz="4" w:space="0" w:color="auto"/>
            </w:tcBorders>
            <w:shd w:val="clear" w:color="auto" w:fill="auto"/>
            <w:noWrap/>
            <w:vAlign w:val="center"/>
            <w:hideMark/>
          </w:tcPr>
          <w:p w14:paraId="2779E4B4" w14:textId="77777777" w:rsidR="00B72C5B" w:rsidRPr="0034190C" w:rsidRDefault="00B72C5B" w:rsidP="00AC6CBD">
            <w:pPr>
              <w:rPr>
                <w:rFonts w:ascii="Arial Narrow" w:eastAsia="Times New Roman" w:hAnsi="Arial Narrow" w:cs="Arial"/>
                <w:sz w:val="18"/>
                <w:szCs w:val="18"/>
              </w:rPr>
            </w:pPr>
            <w:r w:rsidRPr="0034190C">
              <w:rPr>
                <w:rFonts w:ascii="Arial Narrow" w:eastAsia="Times New Roman" w:hAnsi="Arial Narrow" w:cs="Arial"/>
                <w:sz w:val="18"/>
                <w:szCs w:val="18"/>
              </w:rPr>
              <w:t>N/PNG</w:t>
            </w:r>
          </w:p>
        </w:tc>
        <w:tc>
          <w:tcPr>
            <w:tcW w:w="1076" w:type="dxa"/>
            <w:vMerge/>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hideMark/>
          </w:tcPr>
          <w:p w14:paraId="0A47A49C" w14:textId="3283B847" w:rsidR="00B72C5B" w:rsidRPr="0034190C" w:rsidRDefault="00B72C5B" w:rsidP="00EB746C">
            <w:pPr>
              <w:jc w:val="center"/>
              <w:rPr>
                <w:rFonts w:ascii="Arial Narrow" w:eastAsia="Times New Roman" w:hAnsi="Arial Narrow" w:cs="Arial"/>
                <w:sz w:val="18"/>
                <w:szCs w:val="18"/>
              </w:rPr>
            </w:pPr>
          </w:p>
        </w:tc>
        <w:tc>
          <w:tcPr>
            <w:tcW w:w="1037" w:type="dxa"/>
            <w:tcBorders>
              <w:top w:val="single" w:sz="4" w:space="0" w:color="FFFFFF" w:themeColor="background1"/>
              <w:left w:val="nil"/>
              <w:bottom w:val="single" w:sz="4" w:space="0" w:color="FFFFFF" w:themeColor="background1"/>
              <w:right w:val="single" w:sz="4" w:space="0" w:color="auto"/>
            </w:tcBorders>
            <w:shd w:val="clear" w:color="000000" w:fill="auto"/>
            <w:noWrap/>
            <w:vAlign w:val="center"/>
            <w:hideMark/>
          </w:tcPr>
          <w:p w14:paraId="7982B8A1"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top w:val="single" w:sz="4" w:space="0" w:color="FFFFFF" w:themeColor="background1"/>
              <w:left w:val="nil"/>
              <w:bottom w:val="single" w:sz="4" w:space="0" w:color="FFFFFF" w:themeColor="background1"/>
              <w:right w:val="single" w:sz="4" w:space="0" w:color="auto"/>
            </w:tcBorders>
            <w:vAlign w:val="center"/>
          </w:tcPr>
          <w:p w14:paraId="26F1EF07"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ACF</w:t>
            </w:r>
          </w:p>
        </w:tc>
        <w:tc>
          <w:tcPr>
            <w:tcW w:w="791" w:type="dxa"/>
            <w:tcBorders>
              <w:top w:val="single" w:sz="4" w:space="0" w:color="FFFFFF" w:themeColor="background1"/>
              <w:left w:val="single" w:sz="4" w:space="0" w:color="auto"/>
              <w:bottom w:val="single" w:sz="4" w:space="0" w:color="FFFFFF" w:themeColor="background1"/>
              <w:right w:val="single" w:sz="4" w:space="0" w:color="auto"/>
            </w:tcBorders>
            <w:shd w:val="clear" w:color="auto" w:fill="auto"/>
            <w:noWrap/>
            <w:vAlign w:val="center"/>
            <w:hideMark/>
          </w:tcPr>
          <w:p w14:paraId="2A6BA0CF"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1,418 </w:t>
            </w:r>
          </w:p>
        </w:tc>
        <w:tc>
          <w:tcPr>
            <w:tcW w:w="810"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14:paraId="7E04E0B0"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258</w:t>
            </w:r>
          </w:p>
        </w:tc>
        <w:tc>
          <w:tcPr>
            <w:tcW w:w="630"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14:paraId="1C2CC8AF" w14:textId="77777777" w:rsidR="00B72C5B" w:rsidRPr="0034190C" w:rsidRDefault="00B72C5B" w:rsidP="0034190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5</w:t>
            </w:r>
          </w:p>
        </w:tc>
        <w:tc>
          <w:tcPr>
            <w:tcW w:w="720" w:type="dxa"/>
            <w:vMerge/>
            <w:tcBorders>
              <w:left w:val="single" w:sz="4" w:space="0" w:color="auto"/>
              <w:right w:val="single" w:sz="4" w:space="0" w:color="auto"/>
            </w:tcBorders>
            <w:vAlign w:val="center"/>
            <w:hideMark/>
          </w:tcPr>
          <w:p w14:paraId="7D1BA814" w14:textId="5FEBBD79" w:rsidR="00B72C5B" w:rsidRPr="0034190C" w:rsidRDefault="00B72C5B" w:rsidP="00EB746C">
            <w:pPr>
              <w:jc w:val="center"/>
              <w:rPr>
                <w:rFonts w:ascii="Arial Narrow" w:eastAsia="Times New Roman" w:hAnsi="Arial Narrow" w:cs="Arial"/>
                <w:sz w:val="18"/>
                <w:szCs w:val="18"/>
              </w:rPr>
            </w:pPr>
          </w:p>
        </w:tc>
      </w:tr>
      <w:tr w:rsidR="00B72C5B" w:rsidRPr="0034190C" w14:paraId="6DFD2C52" w14:textId="77777777" w:rsidTr="00785817">
        <w:trPr>
          <w:trHeight w:val="360"/>
        </w:trPr>
        <w:tc>
          <w:tcPr>
            <w:tcW w:w="422" w:type="dxa"/>
            <w:tcBorders>
              <w:top w:val="nil"/>
              <w:left w:val="nil"/>
              <w:bottom w:val="nil"/>
              <w:right w:val="nil"/>
            </w:tcBorders>
            <w:shd w:val="clear" w:color="auto" w:fill="auto"/>
            <w:noWrap/>
            <w:vAlign w:val="center"/>
            <w:hideMark/>
          </w:tcPr>
          <w:p w14:paraId="4D173D4F" w14:textId="3BBDB723" w:rsidR="00B72C5B" w:rsidRPr="0034190C" w:rsidRDefault="00B72C5B" w:rsidP="0034190C">
            <w:pPr>
              <w:jc w:val="center"/>
              <w:rPr>
                <w:rFonts w:ascii="Arial Narrow" w:eastAsia="Times New Roman" w:hAnsi="Arial Narrow" w:cs="Arial"/>
                <w:sz w:val="16"/>
                <w:szCs w:val="16"/>
              </w:rPr>
            </w:pPr>
            <w:r>
              <w:rPr>
                <w:rFonts w:ascii="Arial Narrow" w:eastAsia="Times New Roman" w:hAnsi="Arial Narrow" w:cs="Arial"/>
                <w:sz w:val="16"/>
                <w:szCs w:val="16"/>
              </w:rPr>
              <w:t>25</w:t>
            </w:r>
          </w:p>
        </w:tc>
        <w:tc>
          <w:tcPr>
            <w:tcW w:w="2079" w:type="dxa"/>
            <w:tcBorders>
              <w:top w:val="single" w:sz="4" w:space="0" w:color="FFFFFF" w:themeColor="background1"/>
              <w:left w:val="single" w:sz="4" w:space="0" w:color="auto"/>
              <w:bottom w:val="single" w:sz="4" w:space="0" w:color="FFFFFF" w:themeColor="background1"/>
            </w:tcBorders>
            <w:shd w:val="clear" w:color="auto" w:fill="auto"/>
            <w:noWrap/>
            <w:vAlign w:val="center"/>
            <w:hideMark/>
          </w:tcPr>
          <w:p w14:paraId="0F97E05C" w14:textId="1F560459" w:rsidR="00B72C5B" w:rsidRPr="0034190C" w:rsidRDefault="00B72C5B" w:rsidP="00D32176">
            <w:pPr>
              <w:jc w:val="right"/>
              <w:rPr>
                <w:rFonts w:ascii="Arial Narrow" w:eastAsia="Times New Roman" w:hAnsi="Arial Narrow" w:cs="Arial"/>
                <w:sz w:val="18"/>
                <w:szCs w:val="18"/>
              </w:rPr>
            </w:pPr>
            <w:r w:rsidRPr="0034190C">
              <w:rPr>
                <w:rFonts w:ascii="Arial Narrow" w:eastAsia="Times New Roman" w:hAnsi="Arial Narrow" w:cs="Arial"/>
                <w:sz w:val="18"/>
                <w:szCs w:val="18"/>
              </w:rPr>
              <w:t>Nga/ Pun Ywar Chay</w:t>
            </w:r>
            <w:r w:rsidR="00D25FEF">
              <w:rPr>
                <w:rFonts w:ascii="Arial Narrow" w:eastAsia="Times New Roman" w:hAnsi="Arial Narrow" w:cs="Arial"/>
                <w:sz w:val="18"/>
                <w:szCs w:val="18"/>
              </w:rPr>
              <w:t xml:space="preserve"> </w:t>
            </w:r>
            <w:r>
              <w:rPr>
                <w:rFonts w:ascii="Arial Narrow" w:eastAsia="Times New Roman" w:hAnsi="Arial Narrow" w:cs="Arial"/>
                <w:sz w:val="18"/>
                <w:szCs w:val="18"/>
              </w:rPr>
              <w:t>Village</w:t>
            </w:r>
          </w:p>
        </w:tc>
        <w:tc>
          <w:tcPr>
            <w:tcW w:w="897" w:type="dxa"/>
            <w:tcBorders>
              <w:top w:val="single" w:sz="4" w:space="0" w:color="FFFFFF" w:themeColor="background1"/>
              <w:bottom w:val="single" w:sz="4" w:space="0" w:color="FFFFFF" w:themeColor="background1"/>
              <w:right w:val="single" w:sz="4" w:space="0" w:color="auto"/>
            </w:tcBorders>
            <w:shd w:val="clear" w:color="auto" w:fill="auto"/>
            <w:noWrap/>
            <w:vAlign w:val="center"/>
            <w:hideMark/>
          </w:tcPr>
          <w:p w14:paraId="5086E909" w14:textId="77777777" w:rsidR="00B72C5B" w:rsidRPr="0034190C" w:rsidRDefault="00B72C5B" w:rsidP="00AC6CBD">
            <w:pPr>
              <w:rPr>
                <w:rFonts w:ascii="Arial Narrow" w:eastAsia="Times New Roman" w:hAnsi="Arial Narrow" w:cs="Arial"/>
                <w:sz w:val="18"/>
                <w:szCs w:val="18"/>
              </w:rPr>
            </w:pPr>
            <w:r w:rsidRPr="0034190C">
              <w:rPr>
                <w:rFonts w:ascii="Arial Narrow" w:eastAsia="Times New Roman" w:hAnsi="Arial Narrow" w:cs="Arial"/>
                <w:sz w:val="18"/>
                <w:szCs w:val="18"/>
              </w:rPr>
              <w:t>N/PYC</w:t>
            </w:r>
          </w:p>
        </w:tc>
        <w:tc>
          <w:tcPr>
            <w:tcW w:w="1076" w:type="dxa"/>
            <w:vMerge/>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hideMark/>
          </w:tcPr>
          <w:p w14:paraId="62A6E046" w14:textId="713E4EEE" w:rsidR="00B72C5B" w:rsidRPr="0034190C" w:rsidRDefault="00B72C5B" w:rsidP="00EB746C">
            <w:pPr>
              <w:jc w:val="center"/>
              <w:rPr>
                <w:rFonts w:ascii="Arial Narrow" w:eastAsia="Times New Roman" w:hAnsi="Arial Narrow" w:cs="Arial"/>
                <w:sz w:val="18"/>
                <w:szCs w:val="18"/>
              </w:rPr>
            </w:pPr>
          </w:p>
        </w:tc>
        <w:tc>
          <w:tcPr>
            <w:tcW w:w="1037" w:type="dxa"/>
            <w:tcBorders>
              <w:top w:val="single" w:sz="4" w:space="0" w:color="FFFFFF" w:themeColor="background1"/>
              <w:left w:val="nil"/>
              <w:bottom w:val="single" w:sz="4" w:space="0" w:color="FFFFFF" w:themeColor="background1"/>
              <w:right w:val="single" w:sz="4" w:space="0" w:color="auto"/>
            </w:tcBorders>
            <w:shd w:val="clear" w:color="000000" w:fill="auto"/>
            <w:noWrap/>
            <w:vAlign w:val="center"/>
            <w:hideMark/>
          </w:tcPr>
          <w:p w14:paraId="36F6CDC0"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Muslim</w:t>
            </w:r>
          </w:p>
        </w:tc>
        <w:tc>
          <w:tcPr>
            <w:tcW w:w="1033" w:type="dxa"/>
            <w:tcBorders>
              <w:top w:val="single" w:sz="4" w:space="0" w:color="FFFFFF" w:themeColor="background1"/>
              <w:left w:val="nil"/>
              <w:bottom w:val="single" w:sz="4" w:space="0" w:color="FFFFFF" w:themeColor="background1"/>
              <w:right w:val="single" w:sz="4" w:space="0" w:color="auto"/>
            </w:tcBorders>
            <w:vAlign w:val="center"/>
          </w:tcPr>
          <w:p w14:paraId="353FFCF1"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ACF</w:t>
            </w:r>
          </w:p>
        </w:tc>
        <w:tc>
          <w:tcPr>
            <w:tcW w:w="791" w:type="dxa"/>
            <w:tcBorders>
              <w:top w:val="single" w:sz="4" w:space="0" w:color="FFFFFF" w:themeColor="background1"/>
              <w:left w:val="single" w:sz="4" w:space="0" w:color="auto"/>
              <w:bottom w:val="single" w:sz="4" w:space="0" w:color="FFFFFF" w:themeColor="background1"/>
              <w:right w:val="single" w:sz="4" w:space="0" w:color="auto"/>
            </w:tcBorders>
            <w:shd w:val="clear" w:color="auto" w:fill="auto"/>
            <w:noWrap/>
            <w:vAlign w:val="center"/>
            <w:hideMark/>
          </w:tcPr>
          <w:p w14:paraId="72D77A3F"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1,340 </w:t>
            </w:r>
          </w:p>
        </w:tc>
        <w:tc>
          <w:tcPr>
            <w:tcW w:w="810"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14:paraId="4F79B4C7"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244</w:t>
            </w:r>
          </w:p>
        </w:tc>
        <w:tc>
          <w:tcPr>
            <w:tcW w:w="630"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14:paraId="0B1913BB" w14:textId="77777777" w:rsidR="00B72C5B" w:rsidRPr="0034190C" w:rsidRDefault="00B72C5B" w:rsidP="0034190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4</w:t>
            </w:r>
          </w:p>
        </w:tc>
        <w:tc>
          <w:tcPr>
            <w:tcW w:w="720" w:type="dxa"/>
            <w:vMerge/>
            <w:tcBorders>
              <w:left w:val="single" w:sz="4" w:space="0" w:color="auto"/>
              <w:right w:val="single" w:sz="4" w:space="0" w:color="auto"/>
            </w:tcBorders>
            <w:vAlign w:val="center"/>
            <w:hideMark/>
          </w:tcPr>
          <w:p w14:paraId="5C16B3D0" w14:textId="22B31E1D" w:rsidR="00B72C5B" w:rsidRPr="0034190C" w:rsidRDefault="00B72C5B" w:rsidP="00EB746C">
            <w:pPr>
              <w:jc w:val="center"/>
              <w:rPr>
                <w:rFonts w:ascii="Arial Narrow" w:eastAsia="Times New Roman" w:hAnsi="Arial Narrow" w:cs="Arial"/>
                <w:sz w:val="18"/>
                <w:szCs w:val="18"/>
              </w:rPr>
            </w:pPr>
          </w:p>
        </w:tc>
      </w:tr>
      <w:tr w:rsidR="00B72C5B" w:rsidRPr="0034190C" w14:paraId="45B6988A" w14:textId="77777777" w:rsidTr="00785817">
        <w:trPr>
          <w:trHeight w:val="360"/>
        </w:trPr>
        <w:tc>
          <w:tcPr>
            <w:tcW w:w="422" w:type="dxa"/>
            <w:tcBorders>
              <w:top w:val="nil"/>
              <w:left w:val="nil"/>
              <w:bottom w:val="nil"/>
              <w:right w:val="nil"/>
            </w:tcBorders>
            <w:shd w:val="clear" w:color="auto" w:fill="auto"/>
            <w:noWrap/>
            <w:vAlign w:val="center"/>
            <w:hideMark/>
          </w:tcPr>
          <w:p w14:paraId="41DC1491" w14:textId="1DA88A8D" w:rsidR="00B72C5B" w:rsidRPr="0034190C" w:rsidRDefault="00B72C5B" w:rsidP="00EB746C">
            <w:pPr>
              <w:jc w:val="center"/>
              <w:rPr>
                <w:rFonts w:ascii="Arial Narrow" w:eastAsia="Times New Roman" w:hAnsi="Arial Narrow" w:cs="Arial"/>
                <w:sz w:val="16"/>
                <w:szCs w:val="16"/>
              </w:rPr>
            </w:pPr>
            <w:r>
              <w:rPr>
                <w:rFonts w:ascii="Arial Narrow" w:eastAsia="Times New Roman" w:hAnsi="Arial Narrow" w:cs="Arial"/>
                <w:sz w:val="16"/>
                <w:szCs w:val="16"/>
              </w:rPr>
              <w:t>26</w:t>
            </w:r>
          </w:p>
        </w:tc>
        <w:tc>
          <w:tcPr>
            <w:tcW w:w="2079" w:type="dxa"/>
            <w:tcBorders>
              <w:top w:val="single" w:sz="4" w:space="0" w:color="FFFFFF" w:themeColor="background1"/>
              <w:left w:val="single" w:sz="4" w:space="0" w:color="auto"/>
              <w:bottom w:val="single" w:sz="4" w:space="0" w:color="FFFFFF" w:themeColor="background1"/>
            </w:tcBorders>
            <w:shd w:val="clear" w:color="auto" w:fill="auto"/>
            <w:noWrap/>
            <w:vAlign w:val="center"/>
            <w:hideMark/>
          </w:tcPr>
          <w:p w14:paraId="330DDA50" w14:textId="77777777" w:rsidR="00B72C5B" w:rsidRPr="0034190C" w:rsidRDefault="00B72C5B" w:rsidP="00EB746C">
            <w:pPr>
              <w:jc w:val="right"/>
              <w:rPr>
                <w:rFonts w:ascii="Arial Narrow" w:eastAsia="Times New Roman" w:hAnsi="Arial Narrow" w:cs="Arial"/>
                <w:sz w:val="18"/>
                <w:szCs w:val="18"/>
              </w:rPr>
            </w:pPr>
            <w:r w:rsidRPr="0034190C">
              <w:rPr>
                <w:rFonts w:ascii="Arial Narrow" w:eastAsia="Times New Roman" w:hAnsi="Arial Narrow" w:cs="Arial"/>
                <w:sz w:val="18"/>
                <w:szCs w:val="18"/>
              </w:rPr>
              <w:t>Thin Pone Tan</w:t>
            </w:r>
            <w:r>
              <w:rPr>
                <w:rFonts w:ascii="Arial Narrow" w:eastAsia="Times New Roman" w:hAnsi="Arial Narrow" w:cs="Arial"/>
                <w:sz w:val="18"/>
                <w:szCs w:val="18"/>
              </w:rPr>
              <w:t xml:space="preserve"> Village</w:t>
            </w:r>
          </w:p>
        </w:tc>
        <w:tc>
          <w:tcPr>
            <w:tcW w:w="897" w:type="dxa"/>
            <w:tcBorders>
              <w:top w:val="single" w:sz="4" w:space="0" w:color="FFFFFF" w:themeColor="background1"/>
              <w:bottom w:val="single" w:sz="4" w:space="0" w:color="FFFFFF" w:themeColor="background1"/>
              <w:right w:val="single" w:sz="4" w:space="0" w:color="auto"/>
            </w:tcBorders>
            <w:shd w:val="clear" w:color="auto" w:fill="auto"/>
            <w:noWrap/>
            <w:vAlign w:val="center"/>
            <w:hideMark/>
          </w:tcPr>
          <w:p w14:paraId="357D0E86" w14:textId="77777777" w:rsidR="00B72C5B" w:rsidRPr="0034190C" w:rsidRDefault="00B72C5B" w:rsidP="00AC6CBD">
            <w:pPr>
              <w:rPr>
                <w:rFonts w:ascii="Arial Narrow" w:eastAsia="Times New Roman" w:hAnsi="Arial Narrow" w:cs="Arial"/>
                <w:sz w:val="18"/>
                <w:szCs w:val="18"/>
              </w:rPr>
            </w:pPr>
            <w:r w:rsidRPr="0034190C">
              <w:rPr>
                <w:rFonts w:ascii="Arial Narrow" w:eastAsia="Times New Roman" w:hAnsi="Arial Narrow" w:cs="Arial"/>
                <w:sz w:val="18"/>
                <w:szCs w:val="18"/>
              </w:rPr>
              <w:t>TPT</w:t>
            </w:r>
          </w:p>
        </w:tc>
        <w:tc>
          <w:tcPr>
            <w:tcW w:w="1076" w:type="dxa"/>
            <w:vMerge/>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hideMark/>
          </w:tcPr>
          <w:p w14:paraId="19A2EDE5" w14:textId="22A69C15" w:rsidR="00B72C5B" w:rsidRPr="0034190C" w:rsidRDefault="00B72C5B" w:rsidP="00EB746C">
            <w:pPr>
              <w:jc w:val="center"/>
              <w:rPr>
                <w:rFonts w:ascii="Arial Narrow" w:eastAsia="Times New Roman" w:hAnsi="Arial Narrow" w:cs="Arial"/>
                <w:sz w:val="18"/>
                <w:szCs w:val="18"/>
              </w:rPr>
            </w:pPr>
          </w:p>
        </w:tc>
        <w:tc>
          <w:tcPr>
            <w:tcW w:w="1037" w:type="dxa"/>
            <w:tcBorders>
              <w:top w:val="single" w:sz="4" w:space="0" w:color="FFFFFF" w:themeColor="background1"/>
              <w:left w:val="nil"/>
              <w:bottom w:val="single" w:sz="4" w:space="0" w:color="FFFFFF" w:themeColor="background1"/>
              <w:right w:val="single" w:sz="4" w:space="0" w:color="auto"/>
            </w:tcBorders>
            <w:shd w:val="clear" w:color="000000" w:fill="CCFFCC"/>
            <w:noWrap/>
            <w:vAlign w:val="center"/>
            <w:hideMark/>
          </w:tcPr>
          <w:p w14:paraId="1A8D1B0C" w14:textId="77777777" w:rsidR="00B72C5B" w:rsidRPr="0034190C" w:rsidRDefault="00B72C5B"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Rakhine</w:t>
            </w:r>
          </w:p>
        </w:tc>
        <w:tc>
          <w:tcPr>
            <w:tcW w:w="1033" w:type="dxa"/>
            <w:tcBorders>
              <w:top w:val="single" w:sz="4" w:space="0" w:color="FFFFFF" w:themeColor="background1"/>
              <w:left w:val="nil"/>
              <w:bottom w:val="single" w:sz="4" w:space="0" w:color="FFFFFF" w:themeColor="background1"/>
              <w:right w:val="single" w:sz="4" w:space="0" w:color="auto"/>
            </w:tcBorders>
            <w:vAlign w:val="center"/>
          </w:tcPr>
          <w:p w14:paraId="32535F52" w14:textId="77777777" w:rsidR="00B72C5B" w:rsidRPr="0034190C" w:rsidRDefault="00B72C5B"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ACF</w:t>
            </w:r>
          </w:p>
        </w:tc>
        <w:tc>
          <w:tcPr>
            <w:tcW w:w="791" w:type="dxa"/>
            <w:tcBorders>
              <w:top w:val="single" w:sz="4" w:space="0" w:color="FFFFFF" w:themeColor="background1"/>
              <w:left w:val="single" w:sz="4" w:space="0" w:color="auto"/>
              <w:bottom w:val="single" w:sz="4" w:space="0" w:color="FFFFFF" w:themeColor="background1"/>
              <w:right w:val="single" w:sz="4" w:space="0" w:color="auto"/>
            </w:tcBorders>
            <w:shd w:val="clear" w:color="auto" w:fill="auto"/>
            <w:noWrap/>
            <w:vAlign w:val="center"/>
            <w:hideMark/>
          </w:tcPr>
          <w:p w14:paraId="437C9CF6" w14:textId="77777777" w:rsidR="00B72C5B" w:rsidRPr="0034190C" w:rsidRDefault="00B72C5B"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1,231 </w:t>
            </w:r>
          </w:p>
        </w:tc>
        <w:tc>
          <w:tcPr>
            <w:tcW w:w="810"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14:paraId="1E9E70D8" w14:textId="77777777" w:rsidR="00B72C5B" w:rsidRPr="0034190C" w:rsidRDefault="00B72C5B"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224</w:t>
            </w:r>
          </w:p>
        </w:tc>
        <w:tc>
          <w:tcPr>
            <w:tcW w:w="630" w:type="dxa"/>
            <w:tcBorders>
              <w:top w:val="single" w:sz="4" w:space="0" w:color="FFFFFF" w:themeColor="background1"/>
              <w:left w:val="nil"/>
              <w:right w:val="single" w:sz="4" w:space="0" w:color="auto"/>
            </w:tcBorders>
            <w:shd w:val="clear" w:color="auto" w:fill="CCFFCC"/>
            <w:noWrap/>
            <w:vAlign w:val="center"/>
            <w:hideMark/>
          </w:tcPr>
          <w:p w14:paraId="3F5BE264" w14:textId="77777777" w:rsidR="00B72C5B" w:rsidRPr="0034190C" w:rsidRDefault="00B72C5B" w:rsidP="00EB746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5</w:t>
            </w:r>
          </w:p>
        </w:tc>
        <w:tc>
          <w:tcPr>
            <w:tcW w:w="720" w:type="dxa"/>
            <w:vMerge/>
            <w:tcBorders>
              <w:left w:val="single" w:sz="4" w:space="0" w:color="auto"/>
              <w:right w:val="single" w:sz="4" w:space="0" w:color="auto"/>
            </w:tcBorders>
            <w:shd w:val="clear" w:color="auto" w:fill="auto"/>
            <w:noWrap/>
            <w:vAlign w:val="center"/>
            <w:hideMark/>
          </w:tcPr>
          <w:p w14:paraId="4308DA97" w14:textId="4306204D" w:rsidR="00B72C5B" w:rsidRPr="005D5411" w:rsidRDefault="00B72C5B" w:rsidP="00EB746C">
            <w:pPr>
              <w:jc w:val="center"/>
              <w:rPr>
                <w:rFonts w:ascii="Arial Narrow" w:eastAsia="Times New Roman" w:hAnsi="Arial Narrow" w:cs="Arial"/>
                <w:b/>
                <w:sz w:val="18"/>
                <w:szCs w:val="18"/>
              </w:rPr>
            </w:pPr>
          </w:p>
        </w:tc>
      </w:tr>
      <w:tr w:rsidR="00B72C5B" w:rsidRPr="0034190C" w14:paraId="3816DC2C" w14:textId="77777777" w:rsidTr="00785817">
        <w:trPr>
          <w:trHeight w:val="360"/>
        </w:trPr>
        <w:tc>
          <w:tcPr>
            <w:tcW w:w="422" w:type="dxa"/>
            <w:tcBorders>
              <w:top w:val="nil"/>
              <w:left w:val="nil"/>
              <w:bottom w:val="nil"/>
              <w:right w:val="nil"/>
            </w:tcBorders>
            <w:shd w:val="clear" w:color="auto" w:fill="auto"/>
            <w:noWrap/>
            <w:vAlign w:val="center"/>
            <w:hideMark/>
          </w:tcPr>
          <w:p w14:paraId="1594FED4" w14:textId="29CC7AF1" w:rsidR="00B72C5B" w:rsidRPr="0034190C" w:rsidRDefault="00B72C5B" w:rsidP="00EB746C">
            <w:pPr>
              <w:jc w:val="center"/>
              <w:rPr>
                <w:rFonts w:ascii="Arial Narrow" w:eastAsia="Times New Roman" w:hAnsi="Arial Narrow" w:cs="Arial"/>
                <w:sz w:val="16"/>
                <w:szCs w:val="16"/>
              </w:rPr>
            </w:pPr>
            <w:r>
              <w:rPr>
                <w:rFonts w:ascii="Arial Narrow" w:eastAsia="Times New Roman" w:hAnsi="Arial Narrow" w:cs="Arial"/>
                <w:sz w:val="16"/>
                <w:szCs w:val="16"/>
              </w:rPr>
              <w:t>27</w:t>
            </w:r>
          </w:p>
        </w:tc>
        <w:tc>
          <w:tcPr>
            <w:tcW w:w="2079" w:type="dxa"/>
            <w:tcBorders>
              <w:top w:val="single" w:sz="4" w:space="0" w:color="FFFFFF" w:themeColor="background1"/>
              <w:left w:val="single" w:sz="4" w:space="0" w:color="auto"/>
              <w:bottom w:val="single" w:sz="4" w:space="0" w:color="FFFFFF" w:themeColor="background1"/>
            </w:tcBorders>
            <w:shd w:val="clear" w:color="auto" w:fill="auto"/>
            <w:noWrap/>
            <w:vAlign w:val="center"/>
            <w:hideMark/>
          </w:tcPr>
          <w:p w14:paraId="1000CD08" w14:textId="77777777" w:rsidR="00B72C5B" w:rsidRPr="0034190C" w:rsidRDefault="00B72C5B" w:rsidP="00EB746C">
            <w:pPr>
              <w:jc w:val="right"/>
              <w:rPr>
                <w:rFonts w:ascii="Arial Narrow" w:eastAsia="Times New Roman" w:hAnsi="Arial Narrow" w:cs="Arial"/>
                <w:sz w:val="18"/>
                <w:szCs w:val="18"/>
              </w:rPr>
            </w:pPr>
            <w:r w:rsidRPr="0034190C">
              <w:rPr>
                <w:rFonts w:ascii="Arial Narrow" w:eastAsia="Times New Roman" w:hAnsi="Arial Narrow" w:cs="Arial"/>
                <w:sz w:val="18"/>
                <w:szCs w:val="18"/>
              </w:rPr>
              <w:t>Aung Daing</w:t>
            </w:r>
            <w:r>
              <w:rPr>
                <w:rFonts w:ascii="Arial Narrow" w:eastAsia="Times New Roman" w:hAnsi="Arial Narrow" w:cs="Arial"/>
                <w:sz w:val="18"/>
                <w:szCs w:val="18"/>
              </w:rPr>
              <w:t xml:space="preserve"> Village</w:t>
            </w:r>
          </w:p>
        </w:tc>
        <w:tc>
          <w:tcPr>
            <w:tcW w:w="897" w:type="dxa"/>
            <w:tcBorders>
              <w:top w:val="single" w:sz="4" w:space="0" w:color="FFFFFF" w:themeColor="background1"/>
              <w:bottom w:val="single" w:sz="4" w:space="0" w:color="FFFFFF" w:themeColor="background1"/>
              <w:right w:val="single" w:sz="4" w:space="0" w:color="auto"/>
            </w:tcBorders>
            <w:shd w:val="clear" w:color="auto" w:fill="auto"/>
            <w:noWrap/>
            <w:vAlign w:val="center"/>
            <w:hideMark/>
          </w:tcPr>
          <w:p w14:paraId="09C6605C" w14:textId="77777777" w:rsidR="00B72C5B" w:rsidRPr="0034190C" w:rsidRDefault="00B72C5B" w:rsidP="00AC6CBD">
            <w:pPr>
              <w:rPr>
                <w:rFonts w:ascii="Arial Narrow" w:eastAsia="Times New Roman" w:hAnsi="Arial Narrow" w:cs="Arial"/>
                <w:sz w:val="18"/>
                <w:szCs w:val="18"/>
              </w:rPr>
            </w:pPr>
            <w:r w:rsidRPr="0034190C">
              <w:rPr>
                <w:rFonts w:ascii="Arial Narrow" w:eastAsia="Times New Roman" w:hAnsi="Arial Narrow" w:cs="Arial"/>
                <w:sz w:val="18"/>
                <w:szCs w:val="18"/>
              </w:rPr>
              <w:t>AD</w:t>
            </w:r>
          </w:p>
        </w:tc>
        <w:tc>
          <w:tcPr>
            <w:tcW w:w="1076" w:type="dxa"/>
            <w:vMerge/>
            <w:tcBorders>
              <w:top w:val="single" w:sz="4" w:space="0" w:color="FFFFFF" w:themeColor="background1"/>
              <w:left w:val="single" w:sz="4" w:space="0" w:color="auto"/>
              <w:bottom w:val="single" w:sz="4" w:space="0" w:color="FFFFFF" w:themeColor="background1"/>
              <w:right w:val="single" w:sz="4" w:space="0" w:color="auto"/>
            </w:tcBorders>
            <w:vAlign w:val="center"/>
            <w:hideMark/>
          </w:tcPr>
          <w:p w14:paraId="1A6B6298" w14:textId="77777777" w:rsidR="00B72C5B" w:rsidRPr="0034190C" w:rsidRDefault="00B72C5B" w:rsidP="00EB746C">
            <w:pPr>
              <w:rPr>
                <w:rFonts w:ascii="Arial Narrow" w:eastAsia="Times New Roman" w:hAnsi="Arial Narrow" w:cs="Arial"/>
                <w:sz w:val="18"/>
                <w:szCs w:val="18"/>
              </w:rPr>
            </w:pPr>
          </w:p>
        </w:tc>
        <w:tc>
          <w:tcPr>
            <w:tcW w:w="1037" w:type="dxa"/>
            <w:tcBorders>
              <w:top w:val="single" w:sz="4" w:space="0" w:color="FFFFFF" w:themeColor="background1"/>
              <w:left w:val="nil"/>
              <w:bottom w:val="single" w:sz="4" w:space="0" w:color="FFFFFF" w:themeColor="background1"/>
              <w:right w:val="single" w:sz="4" w:space="0" w:color="auto"/>
            </w:tcBorders>
            <w:shd w:val="clear" w:color="000000" w:fill="CCFFCC"/>
            <w:noWrap/>
            <w:vAlign w:val="center"/>
            <w:hideMark/>
          </w:tcPr>
          <w:p w14:paraId="24B22B66" w14:textId="77777777" w:rsidR="00B72C5B" w:rsidRPr="0034190C" w:rsidRDefault="00B72C5B"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Rakhine</w:t>
            </w:r>
          </w:p>
        </w:tc>
        <w:tc>
          <w:tcPr>
            <w:tcW w:w="1033" w:type="dxa"/>
            <w:tcBorders>
              <w:top w:val="single" w:sz="4" w:space="0" w:color="FFFFFF" w:themeColor="background1"/>
              <w:left w:val="nil"/>
              <w:bottom w:val="single" w:sz="4" w:space="0" w:color="FFFFFF" w:themeColor="background1"/>
              <w:right w:val="single" w:sz="4" w:space="0" w:color="auto"/>
            </w:tcBorders>
            <w:vAlign w:val="center"/>
          </w:tcPr>
          <w:p w14:paraId="6237BB26" w14:textId="77777777" w:rsidR="00B72C5B" w:rsidRPr="0034190C" w:rsidRDefault="00B72C5B"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ACF</w:t>
            </w:r>
          </w:p>
        </w:tc>
        <w:tc>
          <w:tcPr>
            <w:tcW w:w="791" w:type="dxa"/>
            <w:tcBorders>
              <w:top w:val="single" w:sz="4" w:space="0" w:color="FFFFFF" w:themeColor="background1"/>
              <w:left w:val="single" w:sz="4" w:space="0" w:color="auto"/>
              <w:bottom w:val="single" w:sz="4" w:space="0" w:color="FFFFFF" w:themeColor="background1"/>
              <w:right w:val="single" w:sz="4" w:space="0" w:color="auto"/>
            </w:tcBorders>
            <w:shd w:val="clear" w:color="auto" w:fill="auto"/>
            <w:noWrap/>
            <w:vAlign w:val="center"/>
            <w:hideMark/>
          </w:tcPr>
          <w:p w14:paraId="0F138B82" w14:textId="77777777" w:rsidR="00B72C5B" w:rsidRPr="0034190C" w:rsidRDefault="00B72C5B"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1,867 </w:t>
            </w:r>
          </w:p>
        </w:tc>
        <w:tc>
          <w:tcPr>
            <w:tcW w:w="810"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14:paraId="7BDBA083" w14:textId="77777777" w:rsidR="00B72C5B" w:rsidRPr="0034190C" w:rsidRDefault="00B72C5B"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339</w:t>
            </w:r>
          </w:p>
        </w:tc>
        <w:tc>
          <w:tcPr>
            <w:tcW w:w="630" w:type="dxa"/>
            <w:tcBorders>
              <w:left w:val="nil"/>
              <w:right w:val="single" w:sz="4" w:space="0" w:color="auto"/>
            </w:tcBorders>
            <w:shd w:val="clear" w:color="auto" w:fill="CCFFCC"/>
            <w:noWrap/>
            <w:vAlign w:val="center"/>
            <w:hideMark/>
          </w:tcPr>
          <w:p w14:paraId="33A9BAD3" w14:textId="77777777" w:rsidR="00B72C5B" w:rsidRPr="0034190C" w:rsidRDefault="00B72C5B" w:rsidP="00EB746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7</w:t>
            </w:r>
          </w:p>
        </w:tc>
        <w:tc>
          <w:tcPr>
            <w:tcW w:w="720" w:type="dxa"/>
            <w:vMerge/>
            <w:tcBorders>
              <w:left w:val="single" w:sz="4" w:space="0" w:color="auto"/>
              <w:right w:val="single" w:sz="4" w:space="0" w:color="auto"/>
            </w:tcBorders>
            <w:vAlign w:val="center"/>
            <w:hideMark/>
          </w:tcPr>
          <w:p w14:paraId="11710699" w14:textId="77777777" w:rsidR="00B72C5B" w:rsidRPr="0034190C" w:rsidRDefault="00B72C5B" w:rsidP="00EB746C">
            <w:pPr>
              <w:rPr>
                <w:rFonts w:ascii="Arial Narrow" w:eastAsia="Times New Roman" w:hAnsi="Arial Narrow" w:cs="Arial"/>
                <w:sz w:val="18"/>
                <w:szCs w:val="18"/>
              </w:rPr>
            </w:pPr>
          </w:p>
        </w:tc>
      </w:tr>
      <w:tr w:rsidR="00B72C5B" w:rsidRPr="0034190C" w14:paraId="157E86F3" w14:textId="77777777" w:rsidTr="00785817">
        <w:trPr>
          <w:trHeight w:val="360"/>
        </w:trPr>
        <w:tc>
          <w:tcPr>
            <w:tcW w:w="422" w:type="dxa"/>
            <w:tcBorders>
              <w:top w:val="nil"/>
              <w:left w:val="nil"/>
              <w:bottom w:val="nil"/>
              <w:right w:val="nil"/>
            </w:tcBorders>
            <w:shd w:val="clear" w:color="auto" w:fill="auto"/>
            <w:noWrap/>
            <w:vAlign w:val="center"/>
            <w:hideMark/>
          </w:tcPr>
          <w:p w14:paraId="60094D7D" w14:textId="0B8CB144" w:rsidR="00B72C5B" w:rsidRPr="0034190C" w:rsidRDefault="00B72C5B" w:rsidP="00EB746C">
            <w:pPr>
              <w:jc w:val="center"/>
              <w:rPr>
                <w:rFonts w:ascii="Arial Narrow" w:eastAsia="Times New Roman" w:hAnsi="Arial Narrow" w:cs="Arial"/>
                <w:sz w:val="16"/>
                <w:szCs w:val="16"/>
              </w:rPr>
            </w:pPr>
            <w:r>
              <w:rPr>
                <w:rFonts w:ascii="Arial Narrow" w:eastAsia="Times New Roman" w:hAnsi="Arial Narrow" w:cs="Arial"/>
                <w:sz w:val="16"/>
                <w:szCs w:val="16"/>
              </w:rPr>
              <w:t>28</w:t>
            </w:r>
          </w:p>
        </w:tc>
        <w:tc>
          <w:tcPr>
            <w:tcW w:w="2079" w:type="dxa"/>
            <w:tcBorders>
              <w:top w:val="single" w:sz="4" w:space="0" w:color="FFFFFF" w:themeColor="background1"/>
              <w:left w:val="single" w:sz="4" w:space="0" w:color="auto"/>
              <w:bottom w:val="single" w:sz="4" w:space="0" w:color="FFFFFF" w:themeColor="background1"/>
            </w:tcBorders>
            <w:shd w:val="clear" w:color="auto" w:fill="auto"/>
            <w:noWrap/>
            <w:vAlign w:val="center"/>
            <w:hideMark/>
          </w:tcPr>
          <w:p w14:paraId="5FEE9584" w14:textId="77777777" w:rsidR="00B72C5B" w:rsidRPr="0034190C" w:rsidRDefault="00B72C5B" w:rsidP="00EB746C">
            <w:pPr>
              <w:jc w:val="right"/>
              <w:rPr>
                <w:rFonts w:ascii="Arial Narrow" w:eastAsia="Times New Roman" w:hAnsi="Arial Narrow" w:cs="Arial"/>
                <w:sz w:val="18"/>
                <w:szCs w:val="18"/>
              </w:rPr>
            </w:pPr>
            <w:r w:rsidRPr="0034190C">
              <w:rPr>
                <w:rFonts w:ascii="Arial Narrow" w:eastAsia="Times New Roman" w:hAnsi="Arial Narrow" w:cs="Arial"/>
                <w:sz w:val="18"/>
                <w:szCs w:val="18"/>
              </w:rPr>
              <w:t>Daung Pyauk Kay</w:t>
            </w:r>
            <w:r>
              <w:rPr>
                <w:rFonts w:ascii="Arial Narrow" w:eastAsia="Times New Roman" w:hAnsi="Arial Narrow" w:cs="Arial"/>
                <w:sz w:val="18"/>
                <w:szCs w:val="18"/>
              </w:rPr>
              <w:t xml:space="preserve"> Village</w:t>
            </w:r>
          </w:p>
        </w:tc>
        <w:tc>
          <w:tcPr>
            <w:tcW w:w="897" w:type="dxa"/>
            <w:tcBorders>
              <w:top w:val="single" w:sz="4" w:space="0" w:color="FFFFFF" w:themeColor="background1"/>
              <w:bottom w:val="single" w:sz="4" w:space="0" w:color="FFFFFF" w:themeColor="background1"/>
              <w:right w:val="single" w:sz="4" w:space="0" w:color="auto"/>
            </w:tcBorders>
            <w:shd w:val="clear" w:color="auto" w:fill="auto"/>
            <w:noWrap/>
            <w:vAlign w:val="center"/>
            <w:hideMark/>
          </w:tcPr>
          <w:p w14:paraId="5EEAD260" w14:textId="77777777" w:rsidR="00B72C5B" w:rsidRPr="0034190C" w:rsidRDefault="00B72C5B" w:rsidP="00AC6CBD">
            <w:pPr>
              <w:rPr>
                <w:rFonts w:ascii="Arial Narrow" w:eastAsia="Times New Roman" w:hAnsi="Arial Narrow" w:cs="Arial"/>
                <w:sz w:val="18"/>
                <w:szCs w:val="18"/>
              </w:rPr>
            </w:pPr>
            <w:r w:rsidRPr="0034190C">
              <w:rPr>
                <w:rFonts w:ascii="Arial Narrow" w:eastAsia="Times New Roman" w:hAnsi="Arial Narrow" w:cs="Arial"/>
                <w:sz w:val="18"/>
                <w:szCs w:val="18"/>
              </w:rPr>
              <w:t>DPK</w:t>
            </w:r>
          </w:p>
        </w:tc>
        <w:tc>
          <w:tcPr>
            <w:tcW w:w="1076" w:type="dxa"/>
            <w:vMerge/>
            <w:tcBorders>
              <w:top w:val="single" w:sz="4" w:space="0" w:color="FFFFFF" w:themeColor="background1"/>
              <w:left w:val="single" w:sz="4" w:space="0" w:color="auto"/>
              <w:bottom w:val="single" w:sz="4" w:space="0" w:color="FFFFFF" w:themeColor="background1"/>
              <w:right w:val="single" w:sz="4" w:space="0" w:color="auto"/>
            </w:tcBorders>
            <w:vAlign w:val="center"/>
            <w:hideMark/>
          </w:tcPr>
          <w:p w14:paraId="71959C84" w14:textId="77777777" w:rsidR="00B72C5B" w:rsidRPr="0034190C" w:rsidRDefault="00B72C5B" w:rsidP="00EB746C">
            <w:pPr>
              <w:rPr>
                <w:rFonts w:ascii="Arial Narrow" w:eastAsia="Times New Roman" w:hAnsi="Arial Narrow" w:cs="Arial"/>
                <w:sz w:val="18"/>
                <w:szCs w:val="18"/>
              </w:rPr>
            </w:pPr>
          </w:p>
        </w:tc>
        <w:tc>
          <w:tcPr>
            <w:tcW w:w="1037" w:type="dxa"/>
            <w:tcBorders>
              <w:top w:val="single" w:sz="4" w:space="0" w:color="FFFFFF" w:themeColor="background1"/>
              <w:left w:val="nil"/>
              <w:bottom w:val="single" w:sz="4" w:space="0" w:color="FFFFFF" w:themeColor="background1"/>
              <w:right w:val="single" w:sz="4" w:space="0" w:color="auto"/>
            </w:tcBorders>
            <w:shd w:val="clear" w:color="000000" w:fill="CCFFCC"/>
            <w:noWrap/>
            <w:vAlign w:val="center"/>
            <w:hideMark/>
          </w:tcPr>
          <w:p w14:paraId="13A26686" w14:textId="77777777" w:rsidR="00B72C5B" w:rsidRPr="0034190C" w:rsidRDefault="00B72C5B"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Rakhine</w:t>
            </w:r>
          </w:p>
        </w:tc>
        <w:tc>
          <w:tcPr>
            <w:tcW w:w="1033" w:type="dxa"/>
            <w:tcBorders>
              <w:top w:val="single" w:sz="4" w:space="0" w:color="FFFFFF" w:themeColor="background1"/>
              <w:left w:val="nil"/>
              <w:bottom w:val="single" w:sz="4" w:space="0" w:color="FFFFFF" w:themeColor="background1"/>
              <w:right w:val="single" w:sz="4" w:space="0" w:color="auto"/>
            </w:tcBorders>
            <w:vAlign w:val="center"/>
          </w:tcPr>
          <w:p w14:paraId="5843CBD0" w14:textId="77777777" w:rsidR="00B72C5B" w:rsidRPr="0034190C" w:rsidRDefault="00B72C5B"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ACF</w:t>
            </w:r>
          </w:p>
        </w:tc>
        <w:tc>
          <w:tcPr>
            <w:tcW w:w="791" w:type="dxa"/>
            <w:tcBorders>
              <w:top w:val="single" w:sz="4" w:space="0" w:color="FFFFFF" w:themeColor="background1"/>
              <w:left w:val="single" w:sz="4" w:space="0" w:color="auto"/>
              <w:bottom w:val="single" w:sz="4" w:space="0" w:color="FFFFFF" w:themeColor="background1"/>
              <w:right w:val="single" w:sz="4" w:space="0" w:color="auto"/>
            </w:tcBorders>
            <w:shd w:val="clear" w:color="auto" w:fill="auto"/>
            <w:noWrap/>
            <w:vAlign w:val="center"/>
            <w:hideMark/>
          </w:tcPr>
          <w:p w14:paraId="3BEEE00D" w14:textId="77777777" w:rsidR="00B72C5B" w:rsidRPr="0034190C" w:rsidRDefault="00B72C5B"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91 </w:t>
            </w:r>
          </w:p>
        </w:tc>
        <w:tc>
          <w:tcPr>
            <w:tcW w:w="810"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14:paraId="5616255E" w14:textId="77777777" w:rsidR="00B72C5B" w:rsidRPr="0034190C" w:rsidRDefault="00B72C5B" w:rsidP="00EB746C">
            <w:pPr>
              <w:jc w:val="center"/>
              <w:rPr>
                <w:rFonts w:ascii="Arial Narrow" w:eastAsia="Times New Roman" w:hAnsi="Arial Narrow" w:cs="Arial"/>
                <w:sz w:val="18"/>
                <w:szCs w:val="18"/>
              </w:rPr>
            </w:pPr>
            <w:r w:rsidRPr="0034190C">
              <w:rPr>
                <w:rFonts w:ascii="Arial Narrow" w:eastAsia="Times New Roman" w:hAnsi="Arial Narrow" w:cs="Arial"/>
                <w:sz w:val="18"/>
                <w:szCs w:val="18"/>
              </w:rPr>
              <w:t>17</w:t>
            </w:r>
          </w:p>
        </w:tc>
        <w:tc>
          <w:tcPr>
            <w:tcW w:w="630" w:type="dxa"/>
            <w:tcBorders>
              <w:left w:val="nil"/>
              <w:bottom w:val="single" w:sz="4" w:space="0" w:color="FFFFFF" w:themeColor="background1"/>
              <w:right w:val="single" w:sz="4" w:space="0" w:color="auto"/>
            </w:tcBorders>
            <w:shd w:val="clear" w:color="auto" w:fill="auto"/>
            <w:noWrap/>
            <w:vAlign w:val="center"/>
            <w:hideMark/>
          </w:tcPr>
          <w:p w14:paraId="2AA46E67" w14:textId="77777777" w:rsidR="00B72C5B" w:rsidRPr="0034190C" w:rsidRDefault="00B72C5B" w:rsidP="00EB746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 </w:t>
            </w:r>
          </w:p>
        </w:tc>
        <w:tc>
          <w:tcPr>
            <w:tcW w:w="720" w:type="dxa"/>
            <w:vMerge/>
            <w:tcBorders>
              <w:left w:val="single" w:sz="4" w:space="0" w:color="auto"/>
              <w:right w:val="single" w:sz="4" w:space="0" w:color="auto"/>
            </w:tcBorders>
            <w:vAlign w:val="center"/>
            <w:hideMark/>
          </w:tcPr>
          <w:p w14:paraId="012C2470" w14:textId="77777777" w:rsidR="00B72C5B" w:rsidRPr="0034190C" w:rsidRDefault="00B72C5B" w:rsidP="00EB746C">
            <w:pPr>
              <w:rPr>
                <w:rFonts w:ascii="Arial Narrow" w:eastAsia="Times New Roman" w:hAnsi="Arial Narrow" w:cs="Arial"/>
                <w:sz w:val="18"/>
                <w:szCs w:val="18"/>
              </w:rPr>
            </w:pPr>
          </w:p>
        </w:tc>
      </w:tr>
      <w:tr w:rsidR="00B72C5B" w:rsidRPr="0034190C" w14:paraId="0E84A466" w14:textId="77777777" w:rsidTr="00785817">
        <w:trPr>
          <w:trHeight w:val="360"/>
        </w:trPr>
        <w:tc>
          <w:tcPr>
            <w:tcW w:w="422" w:type="dxa"/>
            <w:tcBorders>
              <w:top w:val="nil"/>
              <w:left w:val="nil"/>
              <w:bottom w:val="nil"/>
              <w:right w:val="nil"/>
            </w:tcBorders>
            <w:shd w:val="clear" w:color="auto" w:fill="auto"/>
            <w:noWrap/>
            <w:vAlign w:val="center"/>
            <w:hideMark/>
          </w:tcPr>
          <w:p w14:paraId="249A2600" w14:textId="77777777" w:rsidR="00B72C5B" w:rsidRPr="0034190C" w:rsidRDefault="00B72C5B" w:rsidP="0034190C">
            <w:pPr>
              <w:jc w:val="center"/>
              <w:rPr>
                <w:rFonts w:ascii="Arial Narrow" w:eastAsia="Times New Roman" w:hAnsi="Arial Narrow" w:cs="Arial"/>
                <w:sz w:val="16"/>
                <w:szCs w:val="16"/>
              </w:rPr>
            </w:pPr>
            <w:r w:rsidRPr="0034190C">
              <w:rPr>
                <w:rFonts w:ascii="Arial Narrow" w:eastAsia="Times New Roman" w:hAnsi="Arial Narrow" w:cs="Arial"/>
                <w:sz w:val="16"/>
                <w:szCs w:val="16"/>
              </w:rPr>
              <w:t>29</w:t>
            </w:r>
          </w:p>
        </w:tc>
        <w:tc>
          <w:tcPr>
            <w:tcW w:w="2079" w:type="dxa"/>
            <w:tcBorders>
              <w:top w:val="single" w:sz="4" w:space="0" w:color="FFFFFF" w:themeColor="background1"/>
              <w:left w:val="single" w:sz="4" w:space="0" w:color="auto"/>
              <w:bottom w:val="single" w:sz="4" w:space="0" w:color="auto"/>
            </w:tcBorders>
            <w:shd w:val="clear" w:color="auto" w:fill="auto"/>
            <w:noWrap/>
            <w:vAlign w:val="center"/>
            <w:hideMark/>
          </w:tcPr>
          <w:p w14:paraId="48B08A2B" w14:textId="41F183A7" w:rsidR="00B72C5B" w:rsidRPr="0034190C" w:rsidRDefault="00B72C5B" w:rsidP="00D32176">
            <w:pPr>
              <w:jc w:val="right"/>
              <w:rPr>
                <w:rFonts w:ascii="Arial Narrow" w:eastAsia="Times New Roman" w:hAnsi="Arial Narrow" w:cs="Arial"/>
                <w:sz w:val="18"/>
                <w:szCs w:val="18"/>
              </w:rPr>
            </w:pPr>
            <w:r w:rsidRPr="0034190C">
              <w:rPr>
                <w:rFonts w:ascii="Arial Narrow" w:eastAsia="Times New Roman" w:hAnsi="Arial Narrow" w:cs="Arial"/>
                <w:sz w:val="18"/>
                <w:szCs w:val="18"/>
              </w:rPr>
              <w:t>Zaw Pu Gyar</w:t>
            </w:r>
            <w:r w:rsidR="00D25FEF">
              <w:rPr>
                <w:rFonts w:ascii="Arial Narrow" w:eastAsia="Times New Roman" w:hAnsi="Arial Narrow" w:cs="Arial"/>
                <w:sz w:val="18"/>
                <w:szCs w:val="18"/>
              </w:rPr>
              <w:t xml:space="preserve"> </w:t>
            </w:r>
            <w:r>
              <w:rPr>
                <w:rFonts w:ascii="Arial Narrow" w:eastAsia="Times New Roman" w:hAnsi="Arial Narrow" w:cs="Arial"/>
                <w:sz w:val="18"/>
                <w:szCs w:val="18"/>
              </w:rPr>
              <w:t>Village</w:t>
            </w:r>
          </w:p>
        </w:tc>
        <w:tc>
          <w:tcPr>
            <w:tcW w:w="897" w:type="dxa"/>
            <w:tcBorders>
              <w:top w:val="single" w:sz="4" w:space="0" w:color="FFFFFF" w:themeColor="background1"/>
              <w:bottom w:val="single" w:sz="4" w:space="0" w:color="auto"/>
              <w:right w:val="single" w:sz="4" w:space="0" w:color="auto"/>
            </w:tcBorders>
            <w:shd w:val="clear" w:color="auto" w:fill="auto"/>
            <w:noWrap/>
            <w:vAlign w:val="center"/>
            <w:hideMark/>
          </w:tcPr>
          <w:p w14:paraId="37B167FE" w14:textId="77777777" w:rsidR="00B72C5B" w:rsidRPr="0034190C" w:rsidRDefault="00B72C5B" w:rsidP="00AC6CBD">
            <w:pPr>
              <w:rPr>
                <w:rFonts w:ascii="Arial Narrow" w:eastAsia="Times New Roman" w:hAnsi="Arial Narrow" w:cs="Arial"/>
                <w:sz w:val="18"/>
                <w:szCs w:val="18"/>
              </w:rPr>
            </w:pPr>
            <w:r w:rsidRPr="0034190C">
              <w:rPr>
                <w:rFonts w:ascii="Arial Narrow" w:eastAsia="Times New Roman" w:hAnsi="Arial Narrow" w:cs="Arial"/>
                <w:sz w:val="18"/>
                <w:szCs w:val="18"/>
              </w:rPr>
              <w:t>ZPG</w:t>
            </w:r>
          </w:p>
        </w:tc>
        <w:tc>
          <w:tcPr>
            <w:tcW w:w="1076" w:type="dxa"/>
            <w:vMerge/>
            <w:tcBorders>
              <w:top w:val="single" w:sz="4" w:space="0" w:color="FFFFFF" w:themeColor="background1"/>
              <w:left w:val="single" w:sz="4" w:space="0" w:color="auto"/>
              <w:bottom w:val="single" w:sz="4" w:space="0" w:color="000000"/>
              <w:right w:val="single" w:sz="4" w:space="0" w:color="auto"/>
            </w:tcBorders>
            <w:vAlign w:val="center"/>
            <w:hideMark/>
          </w:tcPr>
          <w:p w14:paraId="2BEF42FB" w14:textId="77777777" w:rsidR="00B72C5B" w:rsidRPr="0034190C" w:rsidRDefault="00B72C5B" w:rsidP="0034190C">
            <w:pPr>
              <w:rPr>
                <w:rFonts w:ascii="Arial Narrow" w:eastAsia="Times New Roman" w:hAnsi="Arial Narrow" w:cs="Arial"/>
                <w:sz w:val="18"/>
                <w:szCs w:val="18"/>
              </w:rPr>
            </w:pPr>
          </w:p>
        </w:tc>
        <w:tc>
          <w:tcPr>
            <w:tcW w:w="1037" w:type="dxa"/>
            <w:tcBorders>
              <w:top w:val="single" w:sz="4" w:space="0" w:color="FFFFFF" w:themeColor="background1"/>
              <w:left w:val="nil"/>
              <w:bottom w:val="single" w:sz="4" w:space="0" w:color="auto"/>
              <w:right w:val="single" w:sz="4" w:space="0" w:color="auto"/>
            </w:tcBorders>
            <w:shd w:val="clear" w:color="000000" w:fill="CCFFCC"/>
            <w:noWrap/>
            <w:vAlign w:val="center"/>
            <w:hideMark/>
          </w:tcPr>
          <w:p w14:paraId="14E96A82"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Rakhine</w:t>
            </w:r>
          </w:p>
        </w:tc>
        <w:tc>
          <w:tcPr>
            <w:tcW w:w="1033" w:type="dxa"/>
            <w:tcBorders>
              <w:top w:val="single" w:sz="4" w:space="0" w:color="FFFFFF" w:themeColor="background1"/>
              <w:left w:val="nil"/>
              <w:bottom w:val="single" w:sz="4" w:space="0" w:color="auto"/>
              <w:right w:val="single" w:sz="4" w:space="0" w:color="auto"/>
            </w:tcBorders>
            <w:vAlign w:val="center"/>
          </w:tcPr>
          <w:p w14:paraId="59A7B01A"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ACF</w:t>
            </w:r>
          </w:p>
        </w:tc>
        <w:tc>
          <w:tcPr>
            <w:tcW w:w="791" w:type="dxa"/>
            <w:tcBorders>
              <w:top w:val="single" w:sz="4" w:space="0" w:color="FFFFFF" w:themeColor="background1"/>
              <w:left w:val="single" w:sz="4" w:space="0" w:color="auto"/>
              <w:bottom w:val="single" w:sz="4" w:space="0" w:color="auto"/>
              <w:right w:val="single" w:sz="4" w:space="0" w:color="auto"/>
            </w:tcBorders>
            <w:shd w:val="clear" w:color="auto" w:fill="auto"/>
            <w:noWrap/>
            <w:vAlign w:val="center"/>
            <w:hideMark/>
          </w:tcPr>
          <w:p w14:paraId="111BBC1A"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 xml:space="preserve">363 </w:t>
            </w:r>
          </w:p>
        </w:tc>
        <w:tc>
          <w:tcPr>
            <w:tcW w:w="810" w:type="dxa"/>
            <w:tcBorders>
              <w:top w:val="single" w:sz="4" w:space="0" w:color="FFFFFF" w:themeColor="background1"/>
              <w:left w:val="nil"/>
              <w:bottom w:val="single" w:sz="4" w:space="0" w:color="auto"/>
              <w:right w:val="single" w:sz="4" w:space="0" w:color="auto"/>
            </w:tcBorders>
            <w:shd w:val="clear" w:color="auto" w:fill="auto"/>
            <w:noWrap/>
            <w:vAlign w:val="center"/>
            <w:hideMark/>
          </w:tcPr>
          <w:p w14:paraId="700BDF13" w14:textId="77777777" w:rsidR="00B72C5B" w:rsidRPr="0034190C" w:rsidRDefault="00B72C5B" w:rsidP="0034190C">
            <w:pPr>
              <w:jc w:val="center"/>
              <w:rPr>
                <w:rFonts w:ascii="Arial Narrow" w:eastAsia="Times New Roman" w:hAnsi="Arial Narrow" w:cs="Arial"/>
                <w:sz w:val="18"/>
                <w:szCs w:val="18"/>
              </w:rPr>
            </w:pPr>
            <w:r w:rsidRPr="0034190C">
              <w:rPr>
                <w:rFonts w:ascii="Arial Narrow" w:eastAsia="Times New Roman" w:hAnsi="Arial Narrow" w:cs="Arial"/>
                <w:sz w:val="18"/>
                <w:szCs w:val="18"/>
              </w:rPr>
              <w:t>66</w:t>
            </w:r>
          </w:p>
        </w:tc>
        <w:tc>
          <w:tcPr>
            <w:tcW w:w="630" w:type="dxa"/>
            <w:tcBorders>
              <w:top w:val="single" w:sz="4" w:space="0" w:color="FFFFFF" w:themeColor="background1"/>
              <w:left w:val="nil"/>
              <w:bottom w:val="single" w:sz="4" w:space="0" w:color="auto"/>
              <w:right w:val="single" w:sz="4" w:space="0" w:color="auto"/>
            </w:tcBorders>
            <w:shd w:val="clear" w:color="auto" w:fill="CCFFCC"/>
            <w:noWrap/>
            <w:vAlign w:val="center"/>
            <w:hideMark/>
          </w:tcPr>
          <w:p w14:paraId="1279CD7F" w14:textId="77777777" w:rsidR="00B72C5B" w:rsidRPr="0034190C" w:rsidRDefault="00B72C5B" w:rsidP="0034190C">
            <w:pPr>
              <w:jc w:val="center"/>
              <w:rPr>
                <w:rFonts w:ascii="Arial Narrow" w:eastAsia="Times New Roman" w:hAnsi="Arial Narrow" w:cs="Arial"/>
                <w:b/>
                <w:bCs/>
                <w:sz w:val="18"/>
                <w:szCs w:val="18"/>
              </w:rPr>
            </w:pPr>
            <w:r w:rsidRPr="0034190C">
              <w:rPr>
                <w:rFonts w:ascii="Arial Narrow" w:eastAsia="Times New Roman" w:hAnsi="Arial Narrow" w:cs="Arial"/>
                <w:b/>
                <w:bCs/>
                <w:sz w:val="18"/>
                <w:szCs w:val="18"/>
              </w:rPr>
              <w:t>2</w:t>
            </w:r>
          </w:p>
        </w:tc>
        <w:tc>
          <w:tcPr>
            <w:tcW w:w="720" w:type="dxa"/>
            <w:vMerge/>
            <w:tcBorders>
              <w:left w:val="single" w:sz="4" w:space="0" w:color="auto"/>
              <w:bottom w:val="single" w:sz="4" w:space="0" w:color="auto"/>
              <w:right w:val="single" w:sz="4" w:space="0" w:color="auto"/>
            </w:tcBorders>
            <w:vAlign w:val="center"/>
            <w:hideMark/>
          </w:tcPr>
          <w:p w14:paraId="65CD42B2" w14:textId="77777777" w:rsidR="00B72C5B" w:rsidRPr="0034190C" w:rsidRDefault="00B72C5B" w:rsidP="0034190C">
            <w:pPr>
              <w:rPr>
                <w:rFonts w:ascii="Arial Narrow" w:eastAsia="Times New Roman" w:hAnsi="Arial Narrow" w:cs="Arial"/>
                <w:sz w:val="18"/>
                <w:szCs w:val="18"/>
              </w:rPr>
            </w:pPr>
          </w:p>
        </w:tc>
      </w:tr>
      <w:tr w:rsidR="00EB4D28" w:rsidRPr="00EB746C" w14:paraId="73A1FCB0" w14:textId="77777777" w:rsidTr="00EB746C">
        <w:trPr>
          <w:trHeight w:val="420"/>
        </w:trPr>
        <w:tc>
          <w:tcPr>
            <w:tcW w:w="422" w:type="dxa"/>
            <w:tcBorders>
              <w:top w:val="nil"/>
              <w:left w:val="nil"/>
              <w:bottom w:val="nil"/>
              <w:right w:val="nil"/>
            </w:tcBorders>
            <w:shd w:val="clear" w:color="auto" w:fill="auto"/>
            <w:noWrap/>
            <w:vAlign w:val="center"/>
            <w:hideMark/>
          </w:tcPr>
          <w:p w14:paraId="11A38897" w14:textId="77777777" w:rsidR="00EB4D28" w:rsidRPr="00EB746C" w:rsidRDefault="00EB4D28" w:rsidP="0034190C">
            <w:pPr>
              <w:rPr>
                <w:rFonts w:ascii="Arial Narrow" w:eastAsia="Times New Roman" w:hAnsi="Arial Narrow" w:cs="Arial"/>
                <w:b/>
                <w:sz w:val="18"/>
                <w:szCs w:val="18"/>
              </w:rPr>
            </w:pPr>
          </w:p>
        </w:tc>
        <w:tc>
          <w:tcPr>
            <w:tcW w:w="2079" w:type="dxa"/>
            <w:tcBorders>
              <w:top w:val="nil"/>
              <w:left w:val="nil"/>
              <w:bottom w:val="nil"/>
              <w:right w:val="nil"/>
            </w:tcBorders>
            <w:shd w:val="clear" w:color="auto" w:fill="auto"/>
            <w:noWrap/>
            <w:vAlign w:val="center"/>
            <w:hideMark/>
          </w:tcPr>
          <w:p w14:paraId="49BBD0C9" w14:textId="77777777" w:rsidR="00EB4D28" w:rsidRPr="00EB746C" w:rsidRDefault="00EB4D28" w:rsidP="0034190C">
            <w:pPr>
              <w:jc w:val="center"/>
              <w:rPr>
                <w:rFonts w:ascii="Arial Narrow" w:eastAsia="Times New Roman" w:hAnsi="Arial Narrow" w:cs="Arial"/>
                <w:b/>
                <w:sz w:val="18"/>
                <w:szCs w:val="18"/>
              </w:rPr>
            </w:pPr>
          </w:p>
        </w:tc>
        <w:tc>
          <w:tcPr>
            <w:tcW w:w="897" w:type="dxa"/>
            <w:tcBorders>
              <w:top w:val="nil"/>
              <w:left w:val="nil"/>
              <w:bottom w:val="nil"/>
              <w:right w:val="nil"/>
            </w:tcBorders>
            <w:shd w:val="clear" w:color="auto" w:fill="auto"/>
            <w:noWrap/>
            <w:vAlign w:val="center"/>
            <w:hideMark/>
          </w:tcPr>
          <w:p w14:paraId="4545973F" w14:textId="77777777" w:rsidR="00EB4D28" w:rsidRPr="00EB746C" w:rsidRDefault="00EB4D28" w:rsidP="0034190C">
            <w:pPr>
              <w:jc w:val="center"/>
              <w:rPr>
                <w:rFonts w:ascii="Arial Narrow" w:eastAsia="Times New Roman" w:hAnsi="Arial Narrow" w:cs="Arial"/>
                <w:b/>
                <w:sz w:val="18"/>
                <w:szCs w:val="18"/>
              </w:rPr>
            </w:pPr>
          </w:p>
        </w:tc>
        <w:tc>
          <w:tcPr>
            <w:tcW w:w="1076" w:type="dxa"/>
            <w:tcBorders>
              <w:top w:val="nil"/>
              <w:left w:val="nil"/>
              <w:bottom w:val="nil"/>
              <w:right w:val="nil"/>
            </w:tcBorders>
            <w:shd w:val="clear" w:color="auto" w:fill="auto"/>
            <w:noWrap/>
            <w:vAlign w:val="center"/>
            <w:hideMark/>
          </w:tcPr>
          <w:p w14:paraId="19C818C4" w14:textId="77777777" w:rsidR="00EB4D28" w:rsidRPr="00EB746C" w:rsidRDefault="00EB4D28" w:rsidP="0034190C">
            <w:pPr>
              <w:jc w:val="center"/>
              <w:rPr>
                <w:rFonts w:ascii="Arial Narrow" w:eastAsia="Times New Roman" w:hAnsi="Arial Narrow" w:cs="Arial"/>
                <w:b/>
                <w:sz w:val="18"/>
                <w:szCs w:val="18"/>
              </w:rPr>
            </w:pPr>
          </w:p>
        </w:tc>
        <w:tc>
          <w:tcPr>
            <w:tcW w:w="1037" w:type="dxa"/>
            <w:tcBorders>
              <w:top w:val="nil"/>
              <w:left w:val="nil"/>
              <w:bottom w:val="nil"/>
              <w:right w:val="nil"/>
            </w:tcBorders>
            <w:shd w:val="clear" w:color="auto" w:fill="auto"/>
            <w:noWrap/>
            <w:vAlign w:val="center"/>
            <w:hideMark/>
          </w:tcPr>
          <w:p w14:paraId="2C6AD89E" w14:textId="77777777" w:rsidR="00EB4D28" w:rsidRPr="00EB746C" w:rsidRDefault="00EB4D28" w:rsidP="0034190C">
            <w:pPr>
              <w:jc w:val="center"/>
              <w:rPr>
                <w:rFonts w:ascii="Arial Narrow" w:eastAsia="Times New Roman" w:hAnsi="Arial Narrow" w:cs="Arial"/>
                <w:b/>
                <w:sz w:val="18"/>
                <w:szCs w:val="18"/>
              </w:rPr>
            </w:pPr>
          </w:p>
        </w:tc>
        <w:tc>
          <w:tcPr>
            <w:tcW w:w="1033" w:type="dxa"/>
            <w:tcBorders>
              <w:top w:val="nil"/>
              <w:left w:val="nil"/>
              <w:bottom w:val="nil"/>
              <w:right w:val="nil"/>
            </w:tcBorders>
            <w:vAlign w:val="center"/>
          </w:tcPr>
          <w:p w14:paraId="1A04EED5" w14:textId="77777777" w:rsidR="00EB4D28" w:rsidRPr="00EB746C" w:rsidRDefault="00EB4D28" w:rsidP="0034190C">
            <w:pPr>
              <w:jc w:val="center"/>
              <w:rPr>
                <w:rFonts w:ascii="Arial Narrow" w:eastAsia="Times New Roman" w:hAnsi="Arial Narrow" w:cs="Arial"/>
                <w:b/>
                <w:sz w:val="18"/>
                <w:szCs w:val="18"/>
              </w:rPr>
            </w:pPr>
          </w:p>
        </w:tc>
        <w:tc>
          <w:tcPr>
            <w:tcW w:w="791" w:type="dxa"/>
            <w:tcBorders>
              <w:top w:val="nil"/>
              <w:left w:val="nil"/>
              <w:bottom w:val="nil"/>
              <w:right w:val="nil"/>
            </w:tcBorders>
            <w:shd w:val="clear" w:color="auto" w:fill="auto"/>
            <w:noWrap/>
            <w:vAlign w:val="center"/>
            <w:hideMark/>
          </w:tcPr>
          <w:p w14:paraId="4A4B1527" w14:textId="77777777" w:rsidR="00EB4D28" w:rsidRPr="00EB746C" w:rsidRDefault="00EB4D28" w:rsidP="0034190C">
            <w:pPr>
              <w:jc w:val="center"/>
              <w:rPr>
                <w:rFonts w:ascii="Arial Narrow" w:eastAsia="Times New Roman" w:hAnsi="Arial Narrow" w:cs="Arial"/>
                <w:b/>
                <w:sz w:val="18"/>
                <w:szCs w:val="18"/>
              </w:rPr>
            </w:pPr>
            <w:r w:rsidRPr="00EB746C">
              <w:rPr>
                <w:rFonts w:ascii="Arial Narrow" w:eastAsia="Times New Roman" w:hAnsi="Arial Narrow" w:cs="Arial"/>
                <w:b/>
                <w:sz w:val="18"/>
                <w:szCs w:val="18"/>
              </w:rPr>
              <w:t>122,388</w:t>
            </w:r>
          </w:p>
        </w:tc>
        <w:tc>
          <w:tcPr>
            <w:tcW w:w="810" w:type="dxa"/>
            <w:tcBorders>
              <w:top w:val="nil"/>
              <w:left w:val="nil"/>
              <w:bottom w:val="nil"/>
              <w:right w:val="nil"/>
            </w:tcBorders>
            <w:shd w:val="clear" w:color="auto" w:fill="auto"/>
            <w:noWrap/>
            <w:vAlign w:val="center"/>
            <w:hideMark/>
          </w:tcPr>
          <w:p w14:paraId="3D7766B7" w14:textId="77777777" w:rsidR="00EB4D28" w:rsidRPr="00EB746C" w:rsidRDefault="00EB4D28" w:rsidP="0034190C">
            <w:pPr>
              <w:jc w:val="center"/>
              <w:rPr>
                <w:rFonts w:ascii="Arial Narrow" w:eastAsia="Times New Roman" w:hAnsi="Arial Narrow" w:cs="Arial"/>
                <w:b/>
                <w:sz w:val="18"/>
                <w:szCs w:val="18"/>
              </w:rPr>
            </w:pPr>
            <w:r w:rsidRPr="00EB746C">
              <w:rPr>
                <w:rFonts w:ascii="Arial Narrow" w:eastAsia="Times New Roman" w:hAnsi="Arial Narrow" w:cs="Arial"/>
                <w:b/>
                <w:sz w:val="18"/>
                <w:szCs w:val="18"/>
              </w:rPr>
              <w:t>22,251</w:t>
            </w:r>
          </w:p>
        </w:tc>
        <w:tc>
          <w:tcPr>
            <w:tcW w:w="1350" w:type="dxa"/>
            <w:gridSpan w:val="2"/>
            <w:tcBorders>
              <w:top w:val="nil"/>
              <w:left w:val="nil"/>
              <w:bottom w:val="nil"/>
              <w:right w:val="nil"/>
            </w:tcBorders>
            <w:shd w:val="clear" w:color="auto" w:fill="auto"/>
            <w:noWrap/>
            <w:vAlign w:val="center"/>
            <w:hideMark/>
          </w:tcPr>
          <w:p w14:paraId="28AC4363" w14:textId="4A1B4D2B" w:rsidR="00EB4D28" w:rsidRPr="00EB746C" w:rsidRDefault="00EB4D28" w:rsidP="0034190C">
            <w:pPr>
              <w:jc w:val="center"/>
              <w:rPr>
                <w:rFonts w:ascii="Arial Narrow" w:eastAsia="Times New Roman" w:hAnsi="Arial Narrow" w:cs="Arial"/>
                <w:b/>
                <w:sz w:val="18"/>
                <w:szCs w:val="18"/>
              </w:rPr>
            </w:pPr>
            <w:r w:rsidRPr="00EB746C">
              <w:rPr>
                <w:rFonts w:ascii="Arial Narrow" w:eastAsia="Times New Roman" w:hAnsi="Arial Narrow" w:cs="Arial"/>
                <w:b/>
                <w:sz w:val="18"/>
                <w:szCs w:val="18"/>
              </w:rPr>
              <w:t>428</w:t>
            </w:r>
            <w:r w:rsidR="009922CF">
              <w:rPr>
                <w:rFonts w:ascii="Arial Narrow" w:eastAsia="Times New Roman" w:hAnsi="Arial Narrow" w:cs="Arial"/>
                <w:b/>
                <w:sz w:val="18"/>
                <w:szCs w:val="18"/>
              </w:rPr>
              <w:t xml:space="preserve"> surveys</w:t>
            </w:r>
          </w:p>
        </w:tc>
      </w:tr>
    </w:tbl>
    <w:p w14:paraId="3436E21F" w14:textId="3DAFBB65" w:rsidR="006E7C3F" w:rsidRDefault="006E7C3F">
      <w:pPr>
        <w:rPr>
          <w:rFonts w:asciiTheme="majorHAnsi" w:hAnsiTheme="majorHAnsi"/>
        </w:rPr>
      </w:pPr>
    </w:p>
    <w:p w14:paraId="19B4D594" w14:textId="77777777" w:rsidR="006E7C3F" w:rsidRDefault="006E7C3F">
      <w:pPr>
        <w:rPr>
          <w:rFonts w:asciiTheme="majorHAnsi" w:hAnsiTheme="majorHAnsi"/>
        </w:rPr>
      </w:pPr>
      <w:r>
        <w:rPr>
          <w:rFonts w:asciiTheme="majorHAnsi" w:hAnsiTheme="majorHAnsi"/>
        </w:rPr>
        <w:br w:type="page"/>
      </w:r>
    </w:p>
    <w:p w14:paraId="44424722" w14:textId="77777777" w:rsidR="00274B32" w:rsidRDefault="00274B32">
      <w:pPr>
        <w:rPr>
          <w:rFonts w:asciiTheme="majorHAnsi" w:hAnsiTheme="majorHAnsi"/>
        </w:rPr>
      </w:pPr>
    </w:p>
    <w:p w14:paraId="497257F8" w14:textId="58DC5181" w:rsidR="006E7C3F" w:rsidRDefault="006E7C3F" w:rsidP="006E7C3F">
      <w:pPr>
        <w:pStyle w:val="Heading2"/>
      </w:pPr>
      <w:bookmarkStart w:id="69" w:name="_Toc292703961"/>
      <w:bookmarkStart w:id="70" w:name="_Toc292704178"/>
      <w:bookmarkStart w:id="71" w:name="_Toc294273157"/>
      <w:r>
        <w:t>Annex 02:</w:t>
      </w:r>
      <w:r>
        <w:tab/>
        <w:t>Daily Work Plan for Enumerators</w:t>
      </w:r>
      <w:bookmarkEnd w:id="69"/>
      <w:bookmarkEnd w:id="70"/>
      <w:bookmarkEnd w:id="71"/>
    </w:p>
    <w:p w14:paraId="42A5B0B1" w14:textId="77777777" w:rsidR="006E7C3F" w:rsidRDefault="006E7C3F">
      <w:pPr>
        <w:rPr>
          <w:rFonts w:asciiTheme="majorHAnsi" w:hAnsiTheme="majorHAnsi"/>
        </w:rPr>
      </w:pPr>
    </w:p>
    <w:tbl>
      <w:tblPr>
        <w:tblW w:w="9130" w:type="dxa"/>
        <w:tblInd w:w="103" w:type="dxa"/>
        <w:tblLayout w:type="fixed"/>
        <w:tblCellMar>
          <w:left w:w="29" w:type="dxa"/>
          <w:right w:w="29" w:type="dxa"/>
        </w:tblCellMar>
        <w:tblLook w:val="04A0" w:firstRow="1" w:lastRow="0" w:firstColumn="1" w:lastColumn="0" w:noHBand="0" w:noVBand="1"/>
      </w:tblPr>
      <w:tblGrid>
        <w:gridCol w:w="1470"/>
        <w:gridCol w:w="2265"/>
        <w:gridCol w:w="895"/>
        <w:gridCol w:w="450"/>
        <w:gridCol w:w="450"/>
        <w:gridCol w:w="450"/>
        <w:gridCol w:w="450"/>
        <w:gridCol w:w="450"/>
        <w:gridCol w:w="450"/>
        <w:gridCol w:w="450"/>
        <w:gridCol w:w="450"/>
        <w:gridCol w:w="450"/>
        <w:gridCol w:w="450"/>
      </w:tblGrid>
      <w:tr w:rsidR="006E7C3F" w:rsidRPr="006E7C3F" w14:paraId="71E145DF" w14:textId="77777777" w:rsidTr="006E7C3F">
        <w:trPr>
          <w:trHeight w:val="420"/>
        </w:trPr>
        <w:tc>
          <w:tcPr>
            <w:tcW w:w="1470" w:type="dxa"/>
            <w:vMerge w:val="restart"/>
            <w:tcBorders>
              <w:top w:val="single" w:sz="4" w:space="0" w:color="auto"/>
              <w:left w:val="single" w:sz="4" w:space="0" w:color="auto"/>
              <w:right w:val="nil"/>
            </w:tcBorders>
            <w:shd w:val="clear" w:color="000000" w:fill="DCE6F1"/>
            <w:vAlign w:val="center"/>
            <w:hideMark/>
          </w:tcPr>
          <w:p w14:paraId="3CC692B9" w14:textId="0D1BA3CB" w:rsidR="006E7C3F" w:rsidRDefault="006E7C3F" w:rsidP="00DF78AB">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Typology of</w:t>
            </w:r>
          </w:p>
          <w:p w14:paraId="46B5D19D" w14:textId="28F798ED" w:rsidR="006E7C3F" w:rsidRPr="006E7C3F" w:rsidRDefault="006E7C3F" w:rsidP="00DF78AB">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Beneficiaries</w:t>
            </w:r>
          </w:p>
        </w:tc>
        <w:tc>
          <w:tcPr>
            <w:tcW w:w="2265" w:type="dxa"/>
            <w:vMerge w:val="restart"/>
            <w:tcBorders>
              <w:top w:val="single" w:sz="4" w:space="0" w:color="auto"/>
              <w:left w:val="single" w:sz="4" w:space="0" w:color="auto"/>
              <w:right w:val="single" w:sz="4" w:space="0" w:color="auto"/>
            </w:tcBorders>
            <w:shd w:val="clear" w:color="000000" w:fill="DCE6F1"/>
            <w:noWrap/>
            <w:vAlign w:val="center"/>
            <w:hideMark/>
          </w:tcPr>
          <w:p w14:paraId="48374E53" w14:textId="0D9D1434"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b/>
                <w:bCs/>
                <w:sz w:val="18"/>
                <w:szCs w:val="18"/>
              </w:rPr>
              <w:t>LOCATION</w:t>
            </w:r>
          </w:p>
        </w:tc>
        <w:tc>
          <w:tcPr>
            <w:tcW w:w="895" w:type="dxa"/>
            <w:tcBorders>
              <w:top w:val="single" w:sz="4" w:space="0" w:color="auto"/>
              <w:left w:val="nil"/>
              <w:bottom w:val="single" w:sz="4" w:space="0" w:color="auto"/>
              <w:right w:val="single" w:sz="4" w:space="0" w:color="auto"/>
            </w:tcBorders>
            <w:shd w:val="clear" w:color="000000" w:fill="DCE6F1"/>
            <w:vAlign w:val="center"/>
            <w:hideMark/>
          </w:tcPr>
          <w:p w14:paraId="0CC49B46" w14:textId="77777777" w:rsidR="006E7C3F" w:rsidRPr="006E7C3F" w:rsidRDefault="006E7C3F" w:rsidP="006E7C3F">
            <w:pPr>
              <w:jc w:val="right"/>
              <w:rPr>
                <w:rFonts w:ascii="Arial Narrow" w:eastAsia="Times New Roman" w:hAnsi="Arial Narrow" w:cs="Arial"/>
                <w:b/>
                <w:bCs/>
                <w:sz w:val="18"/>
                <w:szCs w:val="18"/>
              </w:rPr>
            </w:pPr>
            <w:r w:rsidRPr="006E7C3F">
              <w:rPr>
                <w:rFonts w:ascii="Arial Narrow" w:eastAsia="Times New Roman" w:hAnsi="Arial Narrow" w:cs="Arial"/>
                <w:b/>
                <w:bCs/>
                <w:sz w:val="18"/>
                <w:szCs w:val="18"/>
              </w:rPr>
              <w:t>Date: May</w:t>
            </w:r>
          </w:p>
        </w:tc>
        <w:tc>
          <w:tcPr>
            <w:tcW w:w="450" w:type="dxa"/>
            <w:tcBorders>
              <w:top w:val="single" w:sz="4" w:space="0" w:color="auto"/>
              <w:left w:val="nil"/>
              <w:bottom w:val="single" w:sz="4" w:space="0" w:color="auto"/>
              <w:right w:val="single" w:sz="4" w:space="0" w:color="auto"/>
            </w:tcBorders>
            <w:shd w:val="clear" w:color="000000" w:fill="DCE6F1"/>
            <w:noWrap/>
            <w:vAlign w:val="center"/>
            <w:hideMark/>
          </w:tcPr>
          <w:p w14:paraId="6D858D17"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5</w:t>
            </w:r>
          </w:p>
        </w:tc>
        <w:tc>
          <w:tcPr>
            <w:tcW w:w="450" w:type="dxa"/>
            <w:tcBorders>
              <w:top w:val="single" w:sz="4" w:space="0" w:color="auto"/>
              <w:left w:val="nil"/>
              <w:bottom w:val="single" w:sz="4" w:space="0" w:color="auto"/>
              <w:right w:val="single" w:sz="4" w:space="0" w:color="auto"/>
            </w:tcBorders>
            <w:shd w:val="clear" w:color="000000" w:fill="DCE6F1"/>
            <w:noWrap/>
            <w:vAlign w:val="center"/>
            <w:hideMark/>
          </w:tcPr>
          <w:p w14:paraId="3782A231"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6</w:t>
            </w:r>
          </w:p>
        </w:tc>
        <w:tc>
          <w:tcPr>
            <w:tcW w:w="450" w:type="dxa"/>
            <w:tcBorders>
              <w:top w:val="single" w:sz="4" w:space="0" w:color="auto"/>
              <w:left w:val="nil"/>
              <w:bottom w:val="single" w:sz="4" w:space="0" w:color="auto"/>
              <w:right w:val="single" w:sz="4" w:space="0" w:color="auto"/>
            </w:tcBorders>
            <w:shd w:val="clear" w:color="000000" w:fill="DCE6F1"/>
            <w:noWrap/>
            <w:vAlign w:val="center"/>
            <w:hideMark/>
          </w:tcPr>
          <w:p w14:paraId="29950EF0"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7</w:t>
            </w:r>
          </w:p>
        </w:tc>
        <w:tc>
          <w:tcPr>
            <w:tcW w:w="450" w:type="dxa"/>
            <w:tcBorders>
              <w:top w:val="single" w:sz="4" w:space="0" w:color="auto"/>
              <w:left w:val="nil"/>
              <w:bottom w:val="single" w:sz="4" w:space="0" w:color="auto"/>
              <w:right w:val="single" w:sz="4" w:space="0" w:color="auto"/>
            </w:tcBorders>
            <w:shd w:val="clear" w:color="000000" w:fill="DCE6F1"/>
            <w:noWrap/>
            <w:vAlign w:val="center"/>
            <w:hideMark/>
          </w:tcPr>
          <w:p w14:paraId="566ADE8F"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8</w:t>
            </w:r>
          </w:p>
        </w:tc>
        <w:tc>
          <w:tcPr>
            <w:tcW w:w="450" w:type="dxa"/>
            <w:tcBorders>
              <w:top w:val="single" w:sz="4" w:space="0" w:color="auto"/>
              <w:left w:val="nil"/>
              <w:bottom w:val="single" w:sz="4" w:space="0" w:color="auto"/>
              <w:right w:val="single" w:sz="4" w:space="0" w:color="auto"/>
            </w:tcBorders>
            <w:shd w:val="clear" w:color="000000" w:fill="DCE6F1"/>
            <w:noWrap/>
            <w:vAlign w:val="center"/>
            <w:hideMark/>
          </w:tcPr>
          <w:p w14:paraId="5CE8F7D4"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9</w:t>
            </w:r>
          </w:p>
        </w:tc>
        <w:tc>
          <w:tcPr>
            <w:tcW w:w="450" w:type="dxa"/>
            <w:tcBorders>
              <w:top w:val="single" w:sz="4" w:space="0" w:color="auto"/>
              <w:left w:val="nil"/>
              <w:bottom w:val="single" w:sz="4" w:space="0" w:color="auto"/>
              <w:right w:val="single" w:sz="4" w:space="0" w:color="auto"/>
            </w:tcBorders>
            <w:shd w:val="clear" w:color="000000" w:fill="DCE6F1"/>
            <w:noWrap/>
            <w:vAlign w:val="center"/>
            <w:hideMark/>
          </w:tcPr>
          <w:p w14:paraId="70785EB9"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10</w:t>
            </w:r>
          </w:p>
        </w:tc>
        <w:tc>
          <w:tcPr>
            <w:tcW w:w="450" w:type="dxa"/>
            <w:tcBorders>
              <w:top w:val="single" w:sz="4" w:space="0" w:color="auto"/>
              <w:left w:val="nil"/>
              <w:bottom w:val="single" w:sz="4" w:space="0" w:color="auto"/>
              <w:right w:val="single" w:sz="4" w:space="0" w:color="auto"/>
            </w:tcBorders>
            <w:shd w:val="clear" w:color="000000" w:fill="DCE6F1"/>
            <w:noWrap/>
            <w:vAlign w:val="center"/>
            <w:hideMark/>
          </w:tcPr>
          <w:p w14:paraId="54D6CFD3"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11</w:t>
            </w:r>
          </w:p>
        </w:tc>
        <w:tc>
          <w:tcPr>
            <w:tcW w:w="450" w:type="dxa"/>
            <w:tcBorders>
              <w:top w:val="single" w:sz="4" w:space="0" w:color="auto"/>
              <w:left w:val="nil"/>
              <w:bottom w:val="single" w:sz="4" w:space="0" w:color="auto"/>
              <w:right w:val="single" w:sz="4" w:space="0" w:color="auto"/>
            </w:tcBorders>
            <w:shd w:val="clear" w:color="000000" w:fill="DCE6F1"/>
            <w:noWrap/>
            <w:vAlign w:val="center"/>
            <w:hideMark/>
          </w:tcPr>
          <w:p w14:paraId="4FEFABCA"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12</w:t>
            </w:r>
          </w:p>
        </w:tc>
        <w:tc>
          <w:tcPr>
            <w:tcW w:w="450" w:type="dxa"/>
            <w:tcBorders>
              <w:top w:val="single" w:sz="4" w:space="0" w:color="auto"/>
              <w:left w:val="nil"/>
              <w:bottom w:val="single" w:sz="4" w:space="0" w:color="auto"/>
              <w:right w:val="single" w:sz="4" w:space="0" w:color="auto"/>
            </w:tcBorders>
            <w:shd w:val="clear" w:color="000000" w:fill="DCE6F1"/>
            <w:noWrap/>
            <w:vAlign w:val="center"/>
            <w:hideMark/>
          </w:tcPr>
          <w:p w14:paraId="389E51EE"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13</w:t>
            </w:r>
          </w:p>
        </w:tc>
        <w:tc>
          <w:tcPr>
            <w:tcW w:w="450" w:type="dxa"/>
            <w:tcBorders>
              <w:top w:val="single" w:sz="4" w:space="0" w:color="auto"/>
              <w:left w:val="nil"/>
              <w:bottom w:val="single" w:sz="4" w:space="0" w:color="auto"/>
              <w:right w:val="single" w:sz="4" w:space="0" w:color="auto"/>
            </w:tcBorders>
            <w:shd w:val="clear" w:color="000000" w:fill="DCE6F1"/>
            <w:noWrap/>
            <w:vAlign w:val="center"/>
            <w:hideMark/>
          </w:tcPr>
          <w:p w14:paraId="2CB9E05E"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14</w:t>
            </w:r>
          </w:p>
        </w:tc>
      </w:tr>
      <w:tr w:rsidR="006E7C3F" w:rsidRPr="006E7C3F" w14:paraId="2BCFA91E" w14:textId="77777777" w:rsidTr="00DF78AB">
        <w:trPr>
          <w:trHeight w:val="467"/>
        </w:trPr>
        <w:tc>
          <w:tcPr>
            <w:tcW w:w="1470" w:type="dxa"/>
            <w:vMerge/>
            <w:tcBorders>
              <w:left w:val="single" w:sz="4" w:space="0" w:color="auto"/>
              <w:bottom w:val="single" w:sz="4" w:space="0" w:color="auto"/>
              <w:right w:val="single" w:sz="4" w:space="0" w:color="auto"/>
            </w:tcBorders>
            <w:shd w:val="clear" w:color="000000" w:fill="DCE6F1"/>
            <w:vAlign w:val="center"/>
            <w:hideMark/>
          </w:tcPr>
          <w:p w14:paraId="6A42600A" w14:textId="2A0D2C1A" w:rsidR="006E7C3F" w:rsidRPr="006E7C3F" w:rsidRDefault="006E7C3F" w:rsidP="00DF78AB">
            <w:pPr>
              <w:rPr>
                <w:rFonts w:ascii="Arial Narrow" w:eastAsia="Times New Roman" w:hAnsi="Arial Narrow" w:cs="Arial"/>
                <w:b/>
                <w:bCs/>
                <w:sz w:val="18"/>
                <w:szCs w:val="18"/>
              </w:rPr>
            </w:pPr>
          </w:p>
        </w:tc>
        <w:tc>
          <w:tcPr>
            <w:tcW w:w="2265" w:type="dxa"/>
            <w:vMerge/>
            <w:tcBorders>
              <w:left w:val="single" w:sz="4" w:space="0" w:color="auto"/>
              <w:bottom w:val="single" w:sz="4" w:space="0" w:color="auto"/>
              <w:right w:val="single" w:sz="4" w:space="0" w:color="auto"/>
            </w:tcBorders>
            <w:shd w:val="clear" w:color="000000" w:fill="DCE6F1"/>
            <w:noWrap/>
            <w:vAlign w:val="center"/>
            <w:hideMark/>
          </w:tcPr>
          <w:p w14:paraId="0F6B4C5B" w14:textId="648F6EAB" w:rsidR="006E7C3F" w:rsidRPr="006E7C3F" w:rsidRDefault="006E7C3F" w:rsidP="006E7C3F">
            <w:pPr>
              <w:jc w:val="center"/>
              <w:rPr>
                <w:rFonts w:ascii="Arial Narrow" w:eastAsia="Times New Roman" w:hAnsi="Arial Narrow" w:cs="Arial"/>
                <w:b/>
                <w:bCs/>
                <w:sz w:val="18"/>
                <w:szCs w:val="18"/>
              </w:rPr>
            </w:pPr>
          </w:p>
        </w:tc>
        <w:tc>
          <w:tcPr>
            <w:tcW w:w="895" w:type="dxa"/>
            <w:tcBorders>
              <w:top w:val="nil"/>
              <w:left w:val="nil"/>
              <w:bottom w:val="single" w:sz="4" w:space="0" w:color="auto"/>
              <w:right w:val="single" w:sz="4" w:space="0" w:color="auto"/>
            </w:tcBorders>
            <w:shd w:val="clear" w:color="000000" w:fill="DCE6F1"/>
            <w:vAlign w:val="center"/>
            <w:hideMark/>
          </w:tcPr>
          <w:p w14:paraId="225D080A"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Number of Surveys</w:t>
            </w:r>
          </w:p>
        </w:tc>
        <w:tc>
          <w:tcPr>
            <w:tcW w:w="450" w:type="dxa"/>
            <w:tcBorders>
              <w:top w:val="nil"/>
              <w:left w:val="nil"/>
              <w:bottom w:val="single" w:sz="4" w:space="0" w:color="auto"/>
              <w:right w:val="single" w:sz="4" w:space="0" w:color="auto"/>
            </w:tcBorders>
            <w:shd w:val="clear" w:color="000000" w:fill="DCE6F1"/>
            <w:noWrap/>
            <w:vAlign w:val="center"/>
            <w:hideMark/>
          </w:tcPr>
          <w:p w14:paraId="660A3E53"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Tue</w:t>
            </w:r>
          </w:p>
        </w:tc>
        <w:tc>
          <w:tcPr>
            <w:tcW w:w="450" w:type="dxa"/>
            <w:tcBorders>
              <w:top w:val="nil"/>
              <w:left w:val="nil"/>
              <w:bottom w:val="single" w:sz="4" w:space="0" w:color="auto"/>
              <w:right w:val="single" w:sz="4" w:space="0" w:color="auto"/>
            </w:tcBorders>
            <w:shd w:val="clear" w:color="000000" w:fill="DCE6F1"/>
            <w:noWrap/>
            <w:vAlign w:val="center"/>
            <w:hideMark/>
          </w:tcPr>
          <w:p w14:paraId="3205D610"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Wed</w:t>
            </w:r>
          </w:p>
        </w:tc>
        <w:tc>
          <w:tcPr>
            <w:tcW w:w="450" w:type="dxa"/>
            <w:tcBorders>
              <w:top w:val="nil"/>
              <w:left w:val="nil"/>
              <w:bottom w:val="single" w:sz="4" w:space="0" w:color="auto"/>
              <w:right w:val="single" w:sz="4" w:space="0" w:color="auto"/>
            </w:tcBorders>
            <w:shd w:val="clear" w:color="000000" w:fill="DCE6F1"/>
            <w:noWrap/>
            <w:vAlign w:val="center"/>
            <w:hideMark/>
          </w:tcPr>
          <w:p w14:paraId="24F1EA79"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Thur</w:t>
            </w:r>
          </w:p>
        </w:tc>
        <w:tc>
          <w:tcPr>
            <w:tcW w:w="450" w:type="dxa"/>
            <w:tcBorders>
              <w:top w:val="nil"/>
              <w:left w:val="nil"/>
              <w:bottom w:val="single" w:sz="4" w:space="0" w:color="auto"/>
              <w:right w:val="single" w:sz="4" w:space="0" w:color="auto"/>
            </w:tcBorders>
            <w:shd w:val="clear" w:color="000000" w:fill="DCE6F1"/>
            <w:noWrap/>
            <w:vAlign w:val="center"/>
            <w:hideMark/>
          </w:tcPr>
          <w:p w14:paraId="6FBCE272"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Fri</w:t>
            </w:r>
          </w:p>
        </w:tc>
        <w:tc>
          <w:tcPr>
            <w:tcW w:w="450" w:type="dxa"/>
            <w:tcBorders>
              <w:top w:val="nil"/>
              <w:left w:val="nil"/>
              <w:bottom w:val="single" w:sz="4" w:space="0" w:color="auto"/>
              <w:right w:val="single" w:sz="4" w:space="0" w:color="auto"/>
            </w:tcBorders>
            <w:shd w:val="clear" w:color="000000" w:fill="DCE6F1"/>
            <w:noWrap/>
            <w:vAlign w:val="center"/>
            <w:hideMark/>
          </w:tcPr>
          <w:p w14:paraId="3C481BFC"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Sat</w:t>
            </w:r>
          </w:p>
        </w:tc>
        <w:tc>
          <w:tcPr>
            <w:tcW w:w="450" w:type="dxa"/>
            <w:tcBorders>
              <w:top w:val="nil"/>
              <w:left w:val="nil"/>
              <w:bottom w:val="single" w:sz="4" w:space="0" w:color="auto"/>
              <w:right w:val="single" w:sz="4" w:space="0" w:color="auto"/>
            </w:tcBorders>
            <w:shd w:val="clear" w:color="000000" w:fill="DCE6F1"/>
            <w:noWrap/>
            <w:vAlign w:val="center"/>
            <w:hideMark/>
          </w:tcPr>
          <w:p w14:paraId="35667408" w14:textId="345C5E09" w:rsidR="006E7C3F" w:rsidRPr="006E7C3F" w:rsidRDefault="00DF78AB" w:rsidP="006E7C3F">
            <w:pPr>
              <w:jc w:val="center"/>
              <w:rPr>
                <w:rFonts w:ascii="Arial Narrow" w:eastAsia="Times New Roman" w:hAnsi="Arial Narrow" w:cs="Arial"/>
                <w:sz w:val="18"/>
                <w:szCs w:val="18"/>
              </w:rPr>
            </w:pPr>
            <w:r>
              <w:rPr>
                <w:rFonts w:ascii="Arial Narrow" w:eastAsia="Times New Roman" w:hAnsi="Arial Narrow" w:cs="Arial"/>
                <w:sz w:val="18"/>
                <w:szCs w:val="18"/>
              </w:rPr>
              <w:t>Sun</w:t>
            </w:r>
          </w:p>
        </w:tc>
        <w:tc>
          <w:tcPr>
            <w:tcW w:w="450" w:type="dxa"/>
            <w:tcBorders>
              <w:top w:val="nil"/>
              <w:left w:val="nil"/>
              <w:bottom w:val="single" w:sz="4" w:space="0" w:color="auto"/>
              <w:right w:val="single" w:sz="4" w:space="0" w:color="auto"/>
            </w:tcBorders>
            <w:shd w:val="clear" w:color="000000" w:fill="DCE6F1"/>
            <w:noWrap/>
            <w:vAlign w:val="center"/>
            <w:hideMark/>
          </w:tcPr>
          <w:p w14:paraId="367E1672"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Mon</w:t>
            </w:r>
          </w:p>
        </w:tc>
        <w:tc>
          <w:tcPr>
            <w:tcW w:w="450" w:type="dxa"/>
            <w:tcBorders>
              <w:top w:val="nil"/>
              <w:left w:val="nil"/>
              <w:bottom w:val="single" w:sz="4" w:space="0" w:color="auto"/>
              <w:right w:val="single" w:sz="4" w:space="0" w:color="auto"/>
            </w:tcBorders>
            <w:shd w:val="clear" w:color="000000" w:fill="DCE6F1"/>
            <w:noWrap/>
            <w:vAlign w:val="center"/>
            <w:hideMark/>
          </w:tcPr>
          <w:p w14:paraId="1E2FEE74"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Tue</w:t>
            </w:r>
          </w:p>
        </w:tc>
        <w:tc>
          <w:tcPr>
            <w:tcW w:w="450" w:type="dxa"/>
            <w:tcBorders>
              <w:top w:val="nil"/>
              <w:left w:val="nil"/>
              <w:bottom w:val="single" w:sz="4" w:space="0" w:color="auto"/>
              <w:right w:val="single" w:sz="4" w:space="0" w:color="auto"/>
            </w:tcBorders>
            <w:shd w:val="clear" w:color="000000" w:fill="DCE6F1"/>
            <w:noWrap/>
            <w:vAlign w:val="center"/>
            <w:hideMark/>
          </w:tcPr>
          <w:p w14:paraId="2FDBA638"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Wed</w:t>
            </w:r>
          </w:p>
        </w:tc>
        <w:tc>
          <w:tcPr>
            <w:tcW w:w="450" w:type="dxa"/>
            <w:tcBorders>
              <w:top w:val="nil"/>
              <w:left w:val="nil"/>
              <w:bottom w:val="single" w:sz="4" w:space="0" w:color="auto"/>
              <w:right w:val="single" w:sz="4" w:space="0" w:color="auto"/>
            </w:tcBorders>
            <w:shd w:val="clear" w:color="000000" w:fill="DCE6F1"/>
            <w:noWrap/>
            <w:vAlign w:val="center"/>
            <w:hideMark/>
          </w:tcPr>
          <w:p w14:paraId="1884702A"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Thu</w:t>
            </w:r>
          </w:p>
        </w:tc>
      </w:tr>
      <w:tr w:rsidR="006E7C3F" w:rsidRPr="006E7C3F" w14:paraId="5844EBF6" w14:textId="77777777" w:rsidTr="00DF78AB">
        <w:trPr>
          <w:trHeight w:hRule="exact" w:val="360"/>
        </w:trPr>
        <w:tc>
          <w:tcPr>
            <w:tcW w:w="1470" w:type="dxa"/>
            <w:tcBorders>
              <w:top w:val="single" w:sz="4" w:space="0" w:color="auto"/>
              <w:left w:val="single" w:sz="4" w:space="0" w:color="auto"/>
              <w:bottom w:val="nil"/>
              <w:right w:val="single" w:sz="4" w:space="0" w:color="auto"/>
            </w:tcBorders>
            <w:shd w:val="clear" w:color="auto" w:fill="auto"/>
            <w:vAlign w:val="center"/>
            <w:hideMark/>
          </w:tcPr>
          <w:p w14:paraId="58979DAB"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Camp with IDPs</w:t>
            </w:r>
          </w:p>
        </w:tc>
        <w:tc>
          <w:tcPr>
            <w:tcW w:w="2265" w:type="dxa"/>
            <w:tcBorders>
              <w:top w:val="single" w:sz="4" w:space="0" w:color="auto"/>
              <w:left w:val="nil"/>
              <w:bottom w:val="nil"/>
              <w:right w:val="single" w:sz="4" w:space="0" w:color="auto"/>
            </w:tcBorders>
            <w:shd w:val="clear" w:color="auto" w:fill="auto"/>
            <w:noWrap/>
            <w:vAlign w:val="center"/>
            <w:hideMark/>
          </w:tcPr>
          <w:p w14:paraId="4B8884AF" w14:textId="172FAFF0"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Thet K</w:t>
            </w:r>
            <w:r>
              <w:rPr>
                <w:rFonts w:ascii="Arial Narrow" w:eastAsia="Times New Roman" w:hAnsi="Arial Narrow" w:cs="Arial"/>
                <w:sz w:val="18"/>
                <w:szCs w:val="18"/>
              </w:rPr>
              <w:t>a</w:t>
            </w:r>
            <w:r w:rsidRPr="006E7C3F">
              <w:rPr>
                <w:rFonts w:ascii="Arial Narrow" w:eastAsia="Times New Roman" w:hAnsi="Arial Narrow" w:cs="Arial"/>
                <w:sz w:val="18"/>
                <w:szCs w:val="18"/>
              </w:rPr>
              <w:t>el Pyin</w:t>
            </w:r>
          </w:p>
        </w:tc>
        <w:tc>
          <w:tcPr>
            <w:tcW w:w="895" w:type="dxa"/>
            <w:tcBorders>
              <w:top w:val="single" w:sz="4" w:space="0" w:color="auto"/>
              <w:left w:val="nil"/>
              <w:bottom w:val="nil"/>
              <w:right w:val="single" w:sz="4" w:space="0" w:color="auto"/>
            </w:tcBorders>
            <w:shd w:val="clear" w:color="auto" w:fill="auto"/>
            <w:noWrap/>
            <w:vAlign w:val="center"/>
            <w:hideMark/>
          </w:tcPr>
          <w:p w14:paraId="4F570610"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22</w:t>
            </w:r>
          </w:p>
        </w:tc>
        <w:tc>
          <w:tcPr>
            <w:tcW w:w="450" w:type="dxa"/>
            <w:tcBorders>
              <w:top w:val="single" w:sz="4" w:space="0" w:color="auto"/>
              <w:left w:val="nil"/>
              <w:bottom w:val="nil"/>
              <w:right w:val="single" w:sz="4" w:space="0" w:color="auto"/>
            </w:tcBorders>
            <w:shd w:val="clear" w:color="auto" w:fill="auto"/>
            <w:noWrap/>
            <w:vAlign w:val="center"/>
            <w:hideMark/>
          </w:tcPr>
          <w:p w14:paraId="58908182"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22</w:t>
            </w:r>
          </w:p>
        </w:tc>
        <w:tc>
          <w:tcPr>
            <w:tcW w:w="450" w:type="dxa"/>
            <w:tcBorders>
              <w:top w:val="single" w:sz="4" w:space="0" w:color="auto"/>
              <w:left w:val="nil"/>
              <w:bottom w:val="nil"/>
              <w:right w:val="single" w:sz="4" w:space="0" w:color="auto"/>
            </w:tcBorders>
            <w:shd w:val="clear" w:color="auto" w:fill="auto"/>
            <w:noWrap/>
            <w:vAlign w:val="center"/>
            <w:hideMark/>
          </w:tcPr>
          <w:p w14:paraId="3AC52F12"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nil"/>
              <w:right w:val="single" w:sz="4" w:space="0" w:color="auto"/>
            </w:tcBorders>
            <w:shd w:val="clear" w:color="auto" w:fill="auto"/>
            <w:noWrap/>
            <w:vAlign w:val="center"/>
            <w:hideMark/>
          </w:tcPr>
          <w:p w14:paraId="39AB8D05"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nil"/>
              <w:right w:val="single" w:sz="4" w:space="0" w:color="auto"/>
            </w:tcBorders>
            <w:shd w:val="clear" w:color="auto" w:fill="auto"/>
            <w:noWrap/>
            <w:vAlign w:val="center"/>
            <w:hideMark/>
          </w:tcPr>
          <w:p w14:paraId="054DDD99"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nil"/>
              <w:right w:val="single" w:sz="4" w:space="0" w:color="auto"/>
            </w:tcBorders>
            <w:shd w:val="clear" w:color="auto" w:fill="auto"/>
            <w:noWrap/>
            <w:vAlign w:val="center"/>
            <w:hideMark/>
          </w:tcPr>
          <w:p w14:paraId="173AF5D3"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nil"/>
              <w:right w:val="single" w:sz="4" w:space="0" w:color="auto"/>
            </w:tcBorders>
            <w:shd w:val="clear" w:color="auto" w:fill="CCCCCC"/>
            <w:noWrap/>
            <w:vAlign w:val="center"/>
            <w:hideMark/>
          </w:tcPr>
          <w:p w14:paraId="4BF55ED1"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nil"/>
              <w:right w:val="single" w:sz="4" w:space="0" w:color="auto"/>
            </w:tcBorders>
            <w:shd w:val="clear" w:color="auto" w:fill="auto"/>
            <w:noWrap/>
            <w:vAlign w:val="center"/>
            <w:hideMark/>
          </w:tcPr>
          <w:p w14:paraId="1F43567D"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nil"/>
              <w:right w:val="single" w:sz="4" w:space="0" w:color="auto"/>
            </w:tcBorders>
            <w:shd w:val="clear" w:color="auto" w:fill="auto"/>
            <w:noWrap/>
            <w:vAlign w:val="center"/>
            <w:hideMark/>
          </w:tcPr>
          <w:p w14:paraId="7559B5B9"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nil"/>
              <w:right w:val="single" w:sz="4" w:space="0" w:color="auto"/>
            </w:tcBorders>
            <w:shd w:val="clear" w:color="auto" w:fill="auto"/>
            <w:noWrap/>
            <w:vAlign w:val="center"/>
            <w:hideMark/>
          </w:tcPr>
          <w:p w14:paraId="0D9D82E1"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nil"/>
              <w:right w:val="single" w:sz="4" w:space="0" w:color="auto"/>
            </w:tcBorders>
            <w:shd w:val="clear" w:color="auto" w:fill="auto"/>
            <w:noWrap/>
            <w:vAlign w:val="center"/>
            <w:hideMark/>
          </w:tcPr>
          <w:p w14:paraId="6EB2B133"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691C251B" w14:textId="77777777" w:rsidTr="00DF78AB">
        <w:trPr>
          <w:trHeight w:hRule="exact" w:val="36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671D0EB6"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Village near camps</w:t>
            </w:r>
          </w:p>
        </w:tc>
        <w:tc>
          <w:tcPr>
            <w:tcW w:w="2265" w:type="dxa"/>
            <w:tcBorders>
              <w:top w:val="nil"/>
              <w:left w:val="nil"/>
              <w:bottom w:val="single" w:sz="4" w:space="0" w:color="auto"/>
              <w:right w:val="single" w:sz="4" w:space="0" w:color="auto"/>
            </w:tcBorders>
            <w:shd w:val="clear" w:color="auto" w:fill="auto"/>
            <w:noWrap/>
            <w:vAlign w:val="center"/>
            <w:hideMark/>
          </w:tcPr>
          <w:p w14:paraId="60CA4DDB" w14:textId="1B7D3726"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Thet K</w:t>
            </w:r>
            <w:r>
              <w:rPr>
                <w:rFonts w:ascii="Arial Narrow" w:eastAsia="Times New Roman" w:hAnsi="Arial Narrow" w:cs="Arial"/>
                <w:sz w:val="18"/>
                <w:szCs w:val="18"/>
              </w:rPr>
              <w:t>a</w:t>
            </w:r>
            <w:r w:rsidRPr="006E7C3F">
              <w:rPr>
                <w:rFonts w:ascii="Arial Narrow" w:eastAsia="Times New Roman" w:hAnsi="Arial Narrow" w:cs="Arial"/>
                <w:sz w:val="18"/>
                <w:szCs w:val="18"/>
              </w:rPr>
              <w:t>el Pyin Village</w:t>
            </w:r>
          </w:p>
        </w:tc>
        <w:tc>
          <w:tcPr>
            <w:tcW w:w="895" w:type="dxa"/>
            <w:tcBorders>
              <w:top w:val="nil"/>
              <w:left w:val="nil"/>
              <w:bottom w:val="single" w:sz="4" w:space="0" w:color="auto"/>
              <w:right w:val="single" w:sz="4" w:space="0" w:color="auto"/>
            </w:tcBorders>
            <w:shd w:val="clear" w:color="auto" w:fill="auto"/>
            <w:noWrap/>
            <w:vAlign w:val="center"/>
            <w:hideMark/>
          </w:tcPr>
          <w:p w14:paraId="4C19C06C"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47</w:t>
            </w:r>
          </w:p>
        </w:tc>
        <w:tc>
          <w:tcPr>
            <w:tcW w:w="450" w:type="dxa"/>
            <w:tcBorders>
              <w:top w:val="nil"/>
              <w:left w:val="nil"/>
              <w:bottom w:val="single" w:sz="4" w:space="0" w:color="auto"/>
              <w:right w:val="single" w:sz="4" w:space="0" w:color="auto"/>
            </w:tcBorders>
            <w:shd w:val="clear" w:color="auto" w:fill="auto"/>
            <w:noWrap/>
            <w:vAlign w:val="center"/>
            <w:hideMark/>
          </w:tcPr>
          <w:p w14:paraId="12F7BE5D"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454EA211"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36</w:t>
            </w:r>
          </w:p>
        </w:tc>
        <w:tc>
          <w:tcPr>
            <w:tcW w:w="450" w:type="dxa"/>
            <w:tcBorders>
              <w:top w:val="nil"/>
              <w:left w:val="nil"/>
              <w:bottom w:val="single" w:sz="4" w:space="0" w:color="auto"/>
              <w:right w:val="single" w:sz="4" w:space="0" w:color="auto"/>
            </w:tcBorders>
            <w:shd w:val="clear" w:color="auto" w:fill="auto"/>
            <w:noWrap/>
            <w:vAlign w:val="center"/>
            <w:hideMark/>
          </w:tcPr>
          <w:p w14:paraId="74AC4D6D"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11</w:t>
            </w:r>
          </w:p>
        </w:tc>
        <w:tc>
          <w:tcPr>
            <w:tcW w:w="450" w:type="dxa"/>
            <w:tcBorders>
              <w:top w:val="nil"/>
              <w:left w:val="nil"/>
              <w:bottom w:val="single" w:sz="4" w:space="0" w:color="auto"/>
              <w:right w:val="single" w:sz="4" w:space="0" w:color="auto"/>
            </w:tcBorders>
            <w:shd w:val="clear" w:color="auto" w:fill="auto"/>
            <w:noWrap/>
            <w:vAlign w:val="center"/>
            <w:hideMark/>
          </w:tcPr>
          <w:p w14:paraId="112333FB"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0E8DCE85"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CCCCCC"/>
            <w:noWrap/>
            <w:vAlign w:val="center"/>
            <w:hideMark/>
          </w:tcPr>
          <w:p w14:paraId="71388FD7"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21F32EE8"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095B413E"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0CE29B87"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6C753FC4"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79090ADF" w14:textId="77777777" w:rsidTr="00DF78AB">
        <w:trPr>
          <w:trHeight w:hRule="exact" w:val="36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77C87404"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Camp with IDPs</w:t>
            </w:r>
          </w:p>
        </w:tc>
        <w:tc>
          <w:tcPr>
            <w:tcW w:w="2265" w:type="dxa"/>
            <w:tcBorders>
              <w:top w:val="nil"/>
              <w:left w:val="nil"/>
              <w:bottom w:val="single" w:sz="4" w:space="0" w:color="auto"/>
              <w:right w:val="single" w:sz="4" w:space="0" w:color="auto"/>
            </w:tcBorders>
            <w:shd w:val="clear" w:color="auto" w:fill="auto"/>
            <w:noWrap/>
            <w:vAlign w:val="center"/>
            <w:hideMark/>
          </w:tcPr>
          <w:p w14:paraId="6017BD47" w14:textId="77777777"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Maw Ti Ngar (TKP west)</w:t>
            </w:r>
          </w:p>
        </w:tc>
        <w:tc>
          <w:tcPr>
            <w:tcW w:w="895" w:type="dxa"/>
            <w:tcBorders>
              <w:top w:val="nil"/>
              <w:left w:val="nil"/>
              <w:bottom w:val="single" w:sz="4" w:space="0" w:color="auto"/>
              <w:right w:val="single" w:sz="4" w:space="0" w:color="auto"/>
            </w:tcBorders>
            <w:shd w:val="clear" w:color="auto" w:fill="auto"/>
            <w:noWrap/>
            <w:vAlign w:val="center"/>
            <w:hideMark/>
          </w:tcPr>
          <w:p w14:paraId="09C54881"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12</w:t>
            </w:r>
          </w:p>
        </w:tc>
        <w:tc>
          <w:tcPr>
            <w:tcW w:w="450" w:type="dxa"/>
            <w:tcBorders>
              <w:top w:val="nil"/>
              <w:left w:val="nil"/>
              <w:bottom w:val="single" w:sz="4" w:space="0" w:color="auto"/>
              <w:right w:val="single" w:sz="4" w:space="0" w:color="auto"/>
            </w:tcBorders>
            <w:shd w:val="clear" w:color="auto" w:fill="auto"/>
            <w:noWrap/>
            <w:vAlign w:val="center"/>
            <w:hideMark/>
          </w:tcPr>
          <w:p w14:paraId="707B2C11"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12</w:t>
            </w:r>
          </w:p>
        </w:tc>
        <w:tc>
          <w:tcPr>
            <w:tcW w:w="450" w:type="dxa"/>
            <w:tcBorders>
              <w:top w:val="nil"/>
              <w:left w:val="nil"/>
              <w:bottom w:val="single" w:sz="4" w:space="0" w:color="auto"/>
              <w:right w:val="single" w:sz="4" w:space="0" w:color="auto"/>
            </w:tcBorders>
            <w:shd w:val="clear" w:color="auto" w:fill="auto"/>
            <w:noWrap/>
            <w:vAlign w:val="center"/>
            <w:hideMark/>
          </w:tcPr>
          <w:p w14:paraId="405672A6"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4F79287D"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7613299C"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58303C95"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CCCCCC"/>
            <w:noWrap/>
            <w:vAlign w:val="center"/>
            <w:hideMark/>
          </w:tcPr>
          <w:p w14:paraId="4D910428"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4F595F2D"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32A529B9"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053E7906"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48B5945A"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24FE9946" w14:textId="77777777" w:rsidTr="00DF78AB">
        <w:trPr>
          <w:trHeight w:hRule="exact" w:val="360"/>
        </w:trPr>
        <w:tc>
          <w:tcPr>
            <w:tcW w:w="1470" w:type="dxa"/>
            <w:tcBorders>
              <w:top w:val="nil"/>
              <w:left w:val="single" w:sz="4" w:space="0" w:color="auto"/>
              <w:bottom w:val="nil"/>
              <w:right w:val="single" w:sz="4" w:space="0" w:color="auto"/>
            </w:tcBorders>
            <w:shd w:val="clear" w:color="auto" w:fill="auto"/>
            <w:vAlign w:val="center"/>
            <w:hideMark/>
          </w:tcPr>
          <w:p w14:paraId="6AF30678"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Camp with IDPs</w:t>
            </w:r>
          </w:p>
        </w:tc>
        <w:tc>
          <w:tcPr>
            <w:tcW w:w="2265" w:type="dxa"/>
            <w:tcBorders>
              <w:top w:val="nil"/>
              <w:left w:val="nil"/>
              <w:bottom w:val="nil"/>
              <w:right w:val="single" w:sz="4" w:space="0" w:color="auto"/>
            </w:tcBorders>
            <w:shd w:val="clear" w:color="auto" w:fill="auto"/>
            <w:noWrap/>
            <w:vAlign w:val="center"/>
            <w:hideMark/>
          </w:tcPr>
          <w:p w14:paraId="084C145F" w14:textId="225DE3EE"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Dar Pai</w:t>
            </w:r>
            <w:r>
              <w:rPr>
                <w:rFonts w:ascii="Arial Narrow" w:eastAsia="Times New Roman" w:hAnsi="Arial Narrow" w:cs="Arial"/>
                <w:sz w:val="18"/>
                <w:szCs w:val="18"/>
              </w:rPr>
              <w:t>ng</w:t>
            </w:r>
          </w:p>
        </w:tc>
        <w:tc>
          <w:tcPr>
            <w:tcW w:w="895" w:type="dxa"/>
            <w:tcBorders>
              <w:top w:val="nil"/>
              <w:left w:val="nil"/>
              <w:bottom w:val="nil"/>
              <w:right w:val="single" w:sz="4" w:space="0" w:color="auto"/>
            </w:tcBorders>
            <w:shd w:val="clear" w:color="auto" w:fill="auto"/>
            <w:noWrap/>
            <w:vAlign w:val="center"/>
            <w:hideMark/>
          </w:tcPr>
          <w:p w14:paraId="69B62DD7"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38</w:t>
            </w:r>
          </w:p>
        </w:tc>
        <w:tc>
          <w:tcPr>
            <w:tcW w:w="450" w:type="dxa"/>
            <w:tcBorders>
              <w:top w:val="nil"/>
              <w:left w:val="nil"/>
              <w:bottom w:val="nil"/>
              <w:right w:val="single" w:sz="4" w:space="0" w:color="auto"/>
            </w:tcBorders>
            <w:shd w:val="clear" w:color="auto" w:fill="auto"/>
            <w:noWrap/>
            <w:vAlign w:val="center"/>
            <w:hideMark/>
          </w:tcPr>
          <w:p w14:paraId="0D098D31"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427A3C7C"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666F36EA"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38</w:t>
            </w:r>
          </w:p>
        </w:tc>
        <w:tc>
          <w:tcPr>
            <w:tcW w:w="450" w:type="dxa"/>
            <w:tcBorders>
              <w:top w:val="nil"/>
              <w:left w:val="nil"/>
              <w:bottom w:val="nil"/>
              <w:right w:val="single" w:sz="4" w:space="0" w:color="auto"/>
            </w:tcBorders>
            <w:shd w:val="clear" w:color="auto" w:fill="auto"/>
            <w:noWrap/>
            <w:vAlign w:val="center"/>
            <w:hideMark/>
          </w:tcPr>
          <w:p w14:paraId="539A8EFD"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6B6C73E6"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CCCCCC"/>
            <w:noWrap/>
            <w:vAlign w:val="center"/>
            <w:hideMark/>
          </w:tcPr>
          <w:p w14:paraId="3AA71F4A"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3868208A"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0DB532FD"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7B71DA1D"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59C9924E"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60422A3D" w14:textId="77777777" w:rsidTr="00DF78AB">
        <w:trPr>
          <w:trHeight w:hRule="exact" w:val="36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564ACB39"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Village near camps</w:t>
            </w:r>
          </w:p>
        </w:tc>
        <w:tc>
          <w:tcPr>
            <w:tcW w:w="2265" w:type="dxa"/>
            <w:tcBorders>
              <w:top w:val="nil"/>
              <w:left w:val="nil"/>
              <w:bottom w:val="single" w:sz="4" w:space="0" w:color="auto"/>
              <w:right w:val="single" w:sz="4" w:space="0" w:color="auto"/>
            </w:tcBorders>
            <w:shd w:val="clear" w:color="auto" w:fill="auto"/>
            <w:noWrap/>
            <w:vAlign w:val="center"/>
            <w:hideMark/>
          </w:tcPr>
          <w:p w14:paraId="0E633DC6" w14:textId="77777777"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Dar Paing Village</w:t>
            </w:r>
          </w:p>
        </w:tc>
        <w:tc>
          <w:tcPr>
            <w:tcW w:w="895" w:type="dxa"/>
            <w:tcBorders>
              <w:top w:val="nil"/>
              <w:left w:val="nil"/>
              <w:bottom w:val="single" w:sz="4" w:space="0" w:color="auto"/>
              <w:right w:val="single" w:sz="4" w:space="0" w:color="auto"/>
            </w:tcBorders>
            <w:shd w:val="clear" w:color="auto" w:fill="auto"/>
            <w:noWrap/>
            <w:vAlign w:val="center"/>
            <w:hideMark/>
          </w:tcPr>
          <w:p w14:paraId="10459645"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37</w:t>
            </w:r>
          </w:p>
        </w:tc>
        <w:tc>
          <w:tcPr>
            <w:tcW w:w="450" w:type="dxa"/>
            <w:tcBorders>
              <w:top w:val="nil"/>
              <w:left w:val="nil"/>
              <w:bottom w:val="single" w:sz="4" w:space="0" w:color="auto"/>
              <w:right w:val="single" w:sz="4" w:space="0" w:color="auto"/>
            </w:tcBorders>
            <w:shd w:val="clear" w:color="auto" w:fill="auto"/>
            <w:noWrap/>
            <w:vAlign w:val="center"/>
            <w:hideMark/>
          </w:tcPr>
          <w:p w14:paraId="58A29787"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709BF44D"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29F81B25"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2E3626F2"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6E80D6D8"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37</w:t>
            </w:r>
          </w:p>
        </w:tc>
        <w:tc>
          <w:tcPr>
            <w:tcW w:w="450" w:type="dxa"/>
            <w:tcBorders>
              <w:top w:val="nil"/>
              <w:left w:val="nil"/>
              <w:bottom w:val="single" w:sz="4" w:space="0" w:color="auto"/>
              <w:right w:val="single" w:sz="4" w:space="0" w:color="auto"/>
            </w:tcBorders>
            <w:shd w:val="clear" w:color="auto" w:fill="CCCCCC"/>
            <w:noWrap/>
            <w:vAlign w:val="center"/>
            <w:hideMark/>
          </w:tcPr>
          <w:p w14:paraId="5FBF20DE"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425CBCFD"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7ACB15AA"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5C0B2034"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31DF5810"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38BD7C30" w14:textId="77777777" w:rsidTr="00DF78AB">
        <w:trPr>
          <w:trHeight w:hRule="exact" w:val="360"/>
        </w:trPr>
        <w:tc>
          <w:tcPr>
            <w:tcW w:w="1470" w:type="dxa"/>
            <w:tcBorders>
              <w:top w:val="nil"/>
              <w:left w:val="single" w:sz="4" w:space="0" w:color="auto"/>
              <w:bottom w:val="nil"/>
              <w:right w:val="single" w:sz="4" w:space="0" w:color="auto"/>
            </w:tcBorders>
            <w:shd w:val="clear" w:color="auto" w:fill="auto"/>
            <w:vAlign w:val="center"/>
            <w:hideMark/>
          </w:tcPr>
          <w:p w14:paraId="655B4A7D"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Camp with IDPs</w:t>
            </w:r>
          </w:p>
        </w:tc>
        <w:tc>
          <w:tcPr>
            <w:tcW w:w="2265" w:type="dxa"/>
            <w:tcBorders>
              <w:top w:val="nil"/>
              <w:left w:val="nil"/>
              <w:bottom w:val="nil"/>
              <w:right w:val="single" w:sz="4" w:space="0" w:color="auto"/>
            </w:tcBorders>
            <w:shd w:val="clear" w:color="auto" w:fill="auto"/>
            <w:noWrap/>
            <w:vAlign w:val="center"/>
            <w:hideMark/>
          </w:tcPr>
          <w:p w14:paraId="7A457F90" w14:textId="4DE9EE0A" w:rsidR="006E7C3F" w:rsidRPr="006E7C3F" w:rsidRDefault="006E7C3F" w:rsidP="006E7C3F">
            <w:pPr>
              <w:jc w:val="right"/>
              <w:rPr>
                <w:rFonts w:ascii="Arial Narrow" w:eastAsia="Times New Roman" w:hAnsi="Arial Narrow" w:cs="Arial"/>
                <w:sz w:val="18"/>
                <w:szCs w:val="18"/>
              </w:rPr>
            </w:pPr>
            <w:r>
              <w:rPr>
                <w:rFonts w:ascii="Arial Narrow" w:eastAsia="Times New Roman" w:hAnsi="Arial Narrow" w:cs="Arial"/>
                <w:sz w:val="18"/>
                <w:szCs w:val="18"/>
              </w:rPr>
              <w:t>Teh</w:t>
            </w:r>
            <w:r w:rsidRPr="006E7C3F">
              <w:rPr>
                <w:rFonts w:ascii="Arial Narrow" w:eastAsia="Times New Roman" w:hAnsi="Arial Narrow" w:cs="Arial"/>
                <w:sz w:val="18"/>
                <w:szCs w:val="18"/>
              </w:rPr>
              <w:t xml:space="preserve"> Chaung</w:t>
            </w:r>
          </w:p>
        </w:tc>
        <w:tc>
          <w:tcPr>
            <w:tcW w:w="895" w:type="dxa"/>
            <w:tcBorders>
              <w:top w:val="nil"/>
              <w:left w:val="nil"/>
              <w:bottom w:val="nil"/>
              <w:right w:val="single" w:sz="4" w:space="0" w:color="auto"/>
            </w:tcBorders>
            <w:shd w:val="clear" w:color="auto" w:fill="auto"/>
            <w:noWrap/>
            <w:vAlign w:val="center"/>
            <w:hideMark/>
          </w:tcPr>
          <w:p w14:paraId="573BB591"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19</w:t>
            </w:r>
          </w:p>
        </w:tc>
        <w:tc>
          <w:tcPr>
            <w:tcW w:w="450" w:type="dxa"/>
            <w:tcBorders>
              <w:top w:val="nil"/>
              <w:left w:val="nil"/>
              <w:bottom w:val="nil"/>
              <w:right w:val="single" w:sz="4" w:space="0" w:color="auto"/>
            </w:tcBorders>
            <w:shd w:val="clear" w:color="auto" w:fill="auto"/>
            <w:noWrap/>
            <w:vAlign w:val="center"/>
            <w:hideMark/>
          </w:tcPr>
          <w:p w14:paraId="28B15810"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368C363B"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19</w:t>
            </w:r>
          </w:p>
        </w:tc>
        <w:tc>
          <w:tcPr>
            <w:tcW w:w="450" w:type="dxa"/>
            <w:tcBorders>
              <w:top w:val="nil"/>
              <w:left w:val="nil"/>
              <w:bottom w:val="nil"/>
              <w:right w:val="single" w:sz="4" w:space="0" w:color="auto"/>
            </w:tcBorders>
            <w:shd w:val="clear" w:color="auto" w:fill="auto"/>
            <w:noWrap/>
            <w:vAlign w:val="center"/>
            <w:hideMark/>
          </w:tcPr>
          <w:p w14:paraId="3C0935CC"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4861AE12"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665FD602"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CCCCCC"/>
            <w:noWrap/>
            <w:vAlign w:val="center"/>
            <w:hideMark/>
          </w:tcPr>
          <w:p w14:paraId="05A1F308"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30F52764"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47F4E49F"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18F37192"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4E589E4B"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1FE4E2D6" w14:textId="77777777" w:rsidTr="006C182F">
        <w:trPr>
          <w:trHeight w:hRule="exact" w:val="360"/>
        </w:trPr>
        <w:tc>
          <w:tcPr>
            <w:tcW w:w="1470" w:type="dxa"/>
            <w:tcBorders>
              <w:top w:val="nil"/>
              <w:left w:val="single" w:sz="4" w:space="0" w:color="auto"/>
              <w:bottom w:val="nil"/>
              <w:right w:val="single" w:sz="4" w:space="0" w:color="auto"/>
            </w:tcBorders>
            <w:shd w:val="clear" w:color="auto" w:fill="auto"/>
            <w:vAlign w:val="center"/>
            <w:hideMark/>
          </w:tcPr>
          <w:p w14:paraId="58520837"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Village near camps</w:t>
            </w:r>
          </w:p>
        </w:tc>
        <w:tc>
          <w:tcPr>
            <w:tcW w:w="2265" w:type="dxa"/>
            <w:tcBorders>
              <w:top w:val="nil"/>
              <w:left w:val="nil"/>
              <w:right w:val="single" w:sz="4" w:space="0" w:color="auto"/>
            </w:tcBorders>
            <w:shd w:val="clear" w:color="auto" w:fill="auto"/>
            <w:noWrap/>
            <w:vAlign w:val="center"/>
            <w:hideMark/>
          </w:tcPr>
          <w:p w14:paraId="5E120A75" w14:textId="2EF9DB63"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T</w:t>
            </w:r>
            <w:r>
              <w:rPr>
                <w:rFonts w:ascii="Arial Narrow" w:eastAsia="Times New Roman" w:hAnsi="Arial Narrow" w:cs="Arial"/>
                <w:sz w:val="18"/>
                <w:szCs w:val="18"/>
              </w:rPr>
              <w:t>e</w:t>
            </w:r>
            <w:r w:rsidRPr="006E7C3F">
              <w:rPr>
                <w:rFonts w:ascii="Arial Narrow" w:eastAsia="Times New Roman" w:hAnsi="Arial Narrow" w:cs="Arial"/>
                <w:sz w:val="18"/>
                <w:szCs w:val="18"/>
              </w:rPr>
              <w:t>h Chaung Village</w:t>
            </w:r>
          </w:p>
        </w:tc>
        <w:tc>
          <w:tcPr>
            <w:tcW w:w="895" w:type="dxa"/>
            <w:tcBorders>
              <w:top w:val="nil"/>
              <w:left w:val="nil"/>
              <w:bottom w:val="nil"/>
              <w:right w:val="single" w:sz="4" w:space="0" w:color="auto"/>
            </w:tcBorders>
            <w:shd w:val="clear" w:color="auto" w:fill="auto"/>
            <w:noWrap/>
            <w:vAlign w:val="center"/>
            <w:hideMark/>
          </w:tcPr>
          <w:p w14:paraId="75281A98"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48</w:t>
            </w:r>
          </w:p>
        </w:tc>
        <w:tc>
          <w:tcPr>
            <w:tcW w:w="450" w:type="dxa"/>
            <w:tcBorders>
              <w:top w:val="nil"/>
              <w:left w:val="nil"/>
              <w:bottom w:val="nil"/>
              <w:right w:val="single" w:sz="4" w:space="0" w:color="auto"/>
            </w:tcBorders>
            <w:shd w:val="clear" w:color="auto" w:fill="auto"/>
            <w:noWrap/>
            <w:vAlign w:val="center"/>
            <w:hideMark/>
          </w:tcPr>
          <w:p w14:paraId="1E912F3C"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42CDC792"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right w:val="single" w:sz="4" w:space="0" w:color="auto"/>
            </w:tcBorders>
            <w:shd w:val="clear" w:color="auto" w:fill="auto"/>
            <w:noWrap/>
            <w:vAlign w:val="center"/>
            <w:hideMark/>
          </w:tcPr>
          <w:p w14:paraId="6B6DFD69"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759F8905"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045889F8"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CCCCCC"/>
            <w:noWrap/>
            <w:vAlign w:val="center"/>
            <w:hideMark/>
          </w:tcPr>
          <w:p w14:paraId="53B19A07"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5F6EDB74"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3AE5D3F9"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36</w:t>
            </w:r>
          </w:p>
        </w:tc>
        <w:tc>
          <w:tcPr>
            <w:tcW w:w="450" w:type="dxa"/>
            <w:tcBorders>
              <w:top w:val="nil"/>
              <w:left w:val="nil"/>
              <w:bottom w:val="nil"/>
              <w:right w:val="single" w:sz="4" w:space="0" w:color="auto"/>
            </w:tcBorders>
            <w:shd w:val="clear" w:color="auto" w:fill="auto"/>
            <w:noWrap/>
            <w:vAlign w:val="center"/>
            <w:hideMark/>
          </w:tcPr>
          <w:p w14:paraId="1E01C157"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4462DDD4"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12</w:t>
            </w:r>
          </w:p>
        </w:tc>
      </w:tr>
      <w:tr w:rsidR="006E7C3F" w:rsidRPr="006E7C3F" w14:paraId="274526F6" w14:textId="77777777" w:rsidTr="006C182F">
        <w:trPr>
          <w:trHeight w:hRule="exact" w:val="36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2ADEF6E6"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Village near camps</w:t>
            </w:r>
          </w:p>
        </w:tc>
        <w:tc>
          <w:tcPr>
            <w:tcW w:w="2265" w:type="dxa"/>
            <w:tcBorders>
              <w:top w:val="nil"/>
              <w:left w:val="nil"/>
              <w:bottom w:val="single" w:sz="4" w:space="0" w:color="auto"/>
              <w:right w:val="single" w:sz="4" w:space="0" w:color="auto"/>
            </w:tcBorders>
            <w:shd w:val="clear" w:color="auto" w:fill="CCFFCC"/>
            <w:noWrap/>
            <w:vAlign w:val="center"/>
            <w:hideMark/>
          </w:tcPr>
          <w:p w14:paraId="46B29026" w14:textId="3B987CDD" w:rsidR="006E7C3F" w:rsidRPr="006E7C3F" w:rsidRDefault="006E7C3F" w:rsidP="006E7C3F">
            <w:pPr>
              <w:jc w:val="right"/>
              <w:rPr>
                <w:rFonts w:ascii="Arial Narrow" w:eastAsia="Times New Roman" w:hAnsi="Arial Narrow" w:cs="Arial"/>
                <w:sz w:val="18"/>
                <w:szCs w:val="18"/>
              </w:rPr>
            </w:pPr>
            <w:r>
              <w:rPr>
                <w:rFonts w:ascii="Arial Narrow" w:eastAsia="Times New Roman" w:hAnsi="Arial Narrow" w:cs="Arial"/>
                <w:sz w:val="18"/>
                <w:szCs w:val="18"/>
              </w:rPr>
              <w:t>Teh</w:t>
            </w:r>
            <w:r w:rsidRPr="006E7C3F">
              <w:rPr>
                <w:rFonts w:ascii="Arial Narrow" w:eastAsia="Times New Roman" w:hAnsi="Arial Narrow" w:cs="Arial"/>
                <w:sz w:val="18"/>
                <w:szCs w:val="18"/>
              </w:rPr>
              <w:t xml:space="preserve"> Chaung Village (Rakhine)</w:t>
            </w:r>
          </w:p>
        </w:tc>
        <w:tc>
          <w:tcPr>
            <w:tcW w:w="895" w:type="dxa"/>
            <w:tcBorders>
              <w:top w:val="nil"/>
              <w:left w:val="nil"/>
              <w:bottom w:val="single" w:sz="4" w:space="0" w:color="auto"/>
              <w:right w:val="single" w:sz="4" w:space="0" w:color="auto"/>
            </w:tcBorders>
            <w:shd w:val="clear" w:color="auto" w:fill="auto"/>
            <w:noWrap/>
            <w:vAlign w:val="center"/>
            <w:hideMark/>
          </w:tcPr>
          <w:p w14:paraId="4B50DD4B"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2</w:t>
            </w:r>
          </w:p>
        </w:tc>
        <w:tc>
          <w:tcPr>
            <w:tcW w:w="450" w:type="dxa"/>
            <w:tcBorders>
              <w:top w:val="nil"/>
              <w:left w:val="nil"/>
              <w:bottom w:val="single" w:sz="4" w:space="0" w:color="auto"/>
              <w:right w:val="single" w:sz="4" w:space="0" w:color="auto"/>
            </w:tcBorders>
            <w:shd w:val="clear" w:color="auto" w:fill="auto"/>
            <w:noWrap/>
            <w:vAlign w:val="center"/>
            <w:hideMark/>
          </w:tcPr>
          <w:p w14:paraId="784657C4"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3DA1EC05"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CCFFCC"/>
            <w:noWrap/>
            <w:vAlign w:val="center"/>
            <w:hideMark/>
          </w:tcPr>
          <w:p w14:paraId="07E8525D"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2</w:t>
            </w:r>
          </w:p>
        </w:tc>
        <w:tc>
          <w:tcPr>
            <w:tcW w:w="450" w:type="dxa"/>
            <w:tcBorders>
              <w:top w:val="nil"/>
              <w:left w:val="nil"/>
              <w:bottom w:val="single" w:sz="4" w:space="0" w:color="auto"/>
              <w:right w:val="single" w:sz="4" w:space="0" w:color="auto"/>
            </w:tcBorders>
            <w:shd w:val="clear" w:color="auto" w:fill="auto"/>
            <w:noWrap/>
            <w:vAlign w:val="center"/>
            <w:hideMark/>
          </w:tcPr>
          <w:p w14:paraId="76AC6564"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4EBAA297"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CCCCCC"/>
            <w:noWrap/>
            <w:vAlign w:val="center"/>
            <w:hideMark/>
          </w:tcPr>
          <w:p w14:paraId="68FC5F08"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34D6B07D"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2B3D8B8B"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731F2F0E"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0E5D2AF1"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75A733C6" w14:textId="77777777" w:rsidTr="00DF78AB">
        <w:trPr>
          <w:trHeight w:hRule="exact" w:val="360"/>
        </w:trPr>
        <w:tc>
          <w:tcPr>
            <w:tcW w:w="1470" w:type="dxa"/>
            <w:tcBorders>
              <w:top w:val="nil"/>
              <w:left w:val="single" w:sz="4" w:space="0" w:color="auto"/>
              <w:bottom w:val="nil"/>
              <w:right w:val="single" w:sz="4" w:space="0" w:color="auto"/>
            </w:tcBorders>
            <w:shd w:val="clear" w:color="auto" w:fill="auto"/>
            <w:vAlign w:val="center"/>
            <w:hideMark/>
          </w:tcPr>
          <w:p w14:paraId="22F462D1"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Camp with IDPs</w:t>
            </w:r>
          </w:p>
        </w:tc>
        <w:tc>
          <w:tcPr>
            <w:tcW w:w="2265" w:type="dxa"/>
            <w:tcBorders>
              <w:top w:val="nil"/>
              <w:left w:val="nil"/>
              <w:bottom w:val="nil"/>
              <w:right w:val="single" w:sz="4" w:space="0" w:color="auto"/>
            </w:tcBorders>
            <w:shd w:val="clear" w:color="auto" w:fill="auto"/>
            <w:noWrap/>
            <w:vAlign w:val="center"/>
            <w:hideMark/>
          </w:tcPr>
          <w:p w14:paraId="147FAF4A" w14:textId="77777777"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Baw Du Pha</w:t>
            </w:r>
          </w:p>
        </w:tc>
        <w:tc>
          <w:tcPr>
            <w:tcW w:w="895" w:type="dxa"/>
            <w:tcBorders>
              <w:top w:val="nil"/>
              <w:left w:val="nil"/>
              <w:bottom w:val="nil"/>
              <w:right w:val="single" w:sz="4" w:space="0" w:color="auto"/>
            </w:tcBorders>
            <w:shd w:val="clear" w:color="auto" w:fill="auto"/>
            <w:noWrap/>
            <w:vAlign w:val="center"/>
            <w:hideMark/>
          </w:tcPr>
          <w:p w14:paraId="017468AD"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40</w:t>
            </w:r>
          </w:p>
        </w:tc>
        <w:tc>
          <w:tcPr>
            <w:tcW w:w="450" w:type="dxa"/>
            <w:tcBorders>
              <w:top w:val="nil"/>
              <w:left w:val="nil"/>
              <w:bottom w:val="nil"/>
              <w:right w:val="single" w:sz="4" w:space="0" w:color="auto"/>
            </w:tcBorders>
            <w:shd w:val="clear" w:color="auto" w:fill="auto"/>
            <w:noWrap/>
            <w:vAlign w:val="center"/>
            <w:hideMark/>
          </w:tcPr>
          <w:p w14:paraId="69E07090"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624B3B99"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7B3A487A"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05FB5FBE"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1794B366"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CCCCCC"/>
            <w:noWrap/>
            <w:vAlign w:val="center"/>
            <w:hideMark/>
          </w:tcPr>
          <w:p w14:paraId="3EB30C73"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75F15AAF"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4730F3A5"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3BFFD563"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60AA05A3"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40</w:t>
            </w:r>
          </w:p>
        </w:tc>
      </w:tr>
      <w:tr w:rsidR="006E7C3F" w:rsidRPr="006E7C3F" w14:paraId="3F5463B8" w14:textId="77777777" w:rsidTr="00DF78AB">
        <w:trPr>
          <w:trHeight w:hRule="exact" w:val="36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2A7A32E9"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Village near camps</w:t>
            </w:r>
          </w:p>
        </w:tc>
        <w:tc>
          <w:tcPr>
            <w:tcW w:w="2265" w:type="dxa"/>
            <w:tcBorders>
              <w:top w:val="nil"/>
              <w:left w:val="nil"/>
              <w:bottom w:val="single" w:sz="4" w:space="0" w:color="auto"/>
              <w:right w:val="single" w:sz="4" w:space="0" w:color="auto"/>
            </w:tcBorders>
            <w:shd w:val="clear" w:color="auto" w:fill="auto"/>
            <w:noWrap/>
            <w:vAlign w:val="center"/>
            <w:hideMark/>
          </w:tcPr>
          <w:p w14:paraId="2CFFD16A" w14:textId="77777777"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Baw Du Pha Village</w:t>
            </w:r>
          </w:p>
        </w:tc>
        <w:tc>
          <w:tcPr>
            <w:tcW w:w="895" w:type="dxa"/>
            <w:tcBorders>
              <w:top w:val="nil"/>
              <w:left w:val="nil"/>
              <w:bottom w:val="single" w:sz="4" w:space="0" w:color="auto"/>
              <w:right w:val="single" w:sz="4" w:space="0" w:color="auto"/>
            </w:tcBorders>
            <w:shd w:val="clear" w:color="auto" w:fill="auto"/>
            <w:noWrap/>
            <w:vAlign w:val="center"/>
            <w:hideMark/>
          </w:tcPr>
          <w:p w14:paraId="6D118EE5"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2</w:t>
            </w:r>
          </w:p>
        </w:tc>
        <w:tc>
          <w:tcPr>
            <w:tcW w:w="450" w:type="dxa"/>
            <w:tcBorders>
              <w:top w:val="nil"/>
              <w:left w:val="nil"/>
              <w:bottom w:val="single" w:sz="4" w:space="0" w:color="auto"/>
              <w:right w:val="single" w:sz="4" w:space="0" w:color="auto"/>
            </w:tcBorders>
            <w:shd w:val="clear" w:color="auto" w:fill="auto"/>
            <w:noWrap/>
            <w:vAlign w:val="center"/>
            <w:hideMark/>
          </w:tcPr>
          <w:p w14:paraId="55A3DAA8"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0A08356D"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77F65AA1"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2</w:t>
            </w:r>
          </w:p>
        </w:tc>
        <w:tc>
          <w:tcPr>
            <w:tcW w:w="450" w:type="dxa"/>
            <w:tcBorders>
              <w:top w:val="nil"/>
              <w:left w:val="nil"/>
              <w:bottom w:val="single" w:sz="4" w:space="0" w:color="auto"/>
              <w:right w:val="single" w:sz="4" w:space="0" w:color="auto"/>
            </w:tcBorders>
            <w:shd w:val="clear" w:color="auto" w:fill="auto"/>
            <w:noWrap/>
            <w:vAlign w:val="center"/>
            <w:hideMark/>
          </w:tcPr>
          <w:p w14:paraId="40FFCFFE"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30DB26B4"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CCCCCC"/>
            <w:noWrap/>
            <w:vAlign w:val="center"/>
            <w:hideMark/>
          </w:tcPr>
          <w:p w14:paraId="6268A2A7"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6334C3A5"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7A428F1E"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66796D9A"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5B6EA8F3"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5ECA8DAA" w14:textId="77777777" w:rsidTr="00DF78AB">
        <w:trPr>
          <w:trHeight w:hRule="exact" w:val="36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238263D6"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Camp with IDPs</w:t>
            </w:r>
          </w:p>
        </w:tc>
        <w:tc>
          <w:tcPr>
            <w:tcW w:w="2265" w:type="dxa"/>
            <w:tcBorders>
              <w:top w:val="nil"/>
              <w:left w:val="nil"/>
              <w:bottom w:val="single" w:sz="4" w:space="0" w:color="auto"/>
              <w:right w:val="single" w:sz="4" w:space="0" w:color="auto"/>
            </w:tcBorders>
            <w:shd w:val="clear" w:color="auto" w:fill="auto"/>
            <w:noWrap/>
            <w:vAlign w:val="center"/>
            <w:hideMark/>
          </w:tcPr>
          <w:p w14:paraId="5C3CC1FC" w14:textId="77777777"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Hmansi</w:t>
            </w:r>
          </w:p>
        </w:tc>
        <w:tc>
          <w:tcPr>
            <w:tcW w:w="895" w:type="dxa"/>
            <w:tcBorders>
              <w:top w:val="nil"/>
              <w:left w:val="nil"/>
              <w:bottom w:val="single" w:sz="4" w:space="0" w:color="auto"/>
              <w:right w:val="single" w:sz="4" w:space="0" w:color="auto"/>
            </w:tcBorders>
            <w:shd w:val="clear" w:color="auto" w:fill="auto"/>
            <w:noWrap/>
            <w:vAlign w:val="center"/>
            <w:hideMark/>
          </w:tcPr>
          <w:p w14:paraId="21EAD80F"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7</w:t>
            </w:r>
          </w:p>
        </w:tc>
        <w:tc>
          <w:tcPr>
            <w:tcW w:w="450" w:type="dxa"/>
            <w:tcBorders>
              <w:top w:val="nil"/>
              <w:left w:val="nil"/>
              <w:bottom w:val="single" w:sz="4" w:space="0" w:color="auto"/>
              <w:right w:val="single" w:sz="4" w:space="0" w:color="auto"/>
            </w:tcBorders>
            <w:shd w:val="clear" w:color="auto" w:fill="auto"/>
            <w:noWrap/>
            <w:vAlign w:val="center"/>
            <w:hideMark/>
          </w:tcPr>
          <w:p w14:paraId="496F866C"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5684C84E"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3F0547D4"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48A174A5"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7504B59B"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7</w:t>
            </w:r>
          </w:p>
        </w:tc>
        <w:tc>
          <w:tcPr>
            <w:tcW w:w="450" w:type="dxa"/>
            <w:tcBorders>
              <w:top w:val="nil"/>
              <w:left w:val="nil"/>
              <w:bottom w:val="single" w:sz="4" w:space="0" w:color="auto"/>
              <w:right w:val="single" w:sz="4" w:space="0" w:color="auto"/>
            </w:tcBorders>
            <w:shd w:val="clear" w:color="auto" w:fill="CCCCCC"/>
            <w:noWrap/>
            <w:vAlign w:val="center"/>
            <w:hideMark/>
          </w:tcPr>
          <w:p w14:paraId="50B7E914"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3A758227"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490EDC7F"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5A2DD52B"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2B57B514"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1E1D37BE" w14:textId="77777777" w:rsidTr="00DF78AB">
        <w:trPr>
          <w:trHeight w:hRule="exact" w:val="360"/>
        </w:trPr>
        <w:tc>
          <w:tcPr>
            <w:tcW w:w="1470" w:type="dxa"/>
            <w:tcBorders>
              <w:top w:val="nil"/>
              <w:left w:val="single" w:sz="4" w:space="0" w:color="auto"/>
              <w:bottom w:val="nil"/>
              <w:right w:val="single" w:sz="4" w:space="0" w:color="auto"/>
            </w:tcBorders>
            <w:shd w:val="clear" w:color="auto" w:fill="auto"/>
            <w:vAlign w:val="center"/>
            <w:hideMark/>
          </w:tcPr>
          <w:p w14:paraId="1BA9A4F3"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Camp with IDPs</w:t>
            </w:r>
          </w:p>
        </w:tc>
        <w:tc>
          <w:tcPr>
            <w:tcW w:w="2265" w:type="dxa"/>
            <w:tcBorders>
              <w:top w:val="nil"/>
              <w:left w:val="nil"/>
              <w:bottom w:val="nil"/>
              <w:right w:val="single" w:sz="4" w:space="0" w:color="auto"/>
            </w:tcBorders>
            <w:shd w:val="clear" w:color="auto" w:fill="auto"/>
            <w:noWrap/>
            <w:vAlign w:val="center"/>
            <w:hideMark/>
          </w:tcPr>
          <w:p w14:paraId="5629D139" w14:textId="77777777"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Say Tha Mar Gyi</w:t>
            </w:r>
          </w:p>
        </w:tc>
        <w:tc>
          <w:tcPr>
            <w:tcW w:w="895" w:type="dxa"/>
            <w:tcBorders>
              <w:top w:val="nil"/>
              <w:left w:val="nil"/>
              <w:bottom w:val="nil"/>
              <w:right w:val="single" w:sz="4" w:space="0" w:color="auto"/>
            </w:tcBorders>
            <w:shd w:val="clear" w:color="auto" w:fill="auto"/>
            <w:noWrap/>
            <w:vAlign w:val="center"/>
            <w:hideMark/>
          </w:tcPr>
          <w:p w14:paraId="1D4C5478"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43</w:t>
            </w:r>
          </w:p>
        </w:tc>
        <w:tc>
          <w:tcPr>
            <w:tcW w:w="450" w:type="dxa"/>
            <w:tcBorders>
              <w:top w:val="nil"/>
              <w:left w:val="nil"/>
              <w:bottom w:val="nil"/>
              <w:right w:val="single" w:sz="4" w:space="0" w:color="auto"/>
            </w:tcBorders>
            <w:shd w:val="clear" w:color="auto" w:fill="auto"/>
            <w:noWrap/>
            <w:vAlign w:val="center"/>
            <w:hideMark/>
          </w:tcPr>
          <w:p w14:paraId="1451547E"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0F231189"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4F646B3E"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5A730562"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09A274F8"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CCCCCC"/>
            <w:noWrap/>
            <w:vAlign w:val="center"/>
            <w:hideMark/>
          </w:tcPr>
          <w:p w14:paraId="386E04F1"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6FC069E3"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43</w:t>
            </w:r>
          </w:p>
        </w:tc>
        <w:tc>
          <w:tcPr>
            <w:tcW w:w="450" w:type="dxa"/>
            <w:tcBorders>
              <w:top w:val="nil"/>
              <w:left w:val="nil"/>
              <w:bottom w:val="nil"/>
              <w:right w:val="single" w:sz="4" w:space="0" w:color="auto"/>
            </w:tcBorders>
            <w:shd w:val="clear" w:color="auto" w:fill="auto"/>
            <w:noWrap/>
            <w:vAlign w:val="center"/>
            <w:hideMark/>
          </w:tcPr>
          <w:p w14:paraId="43AB2F96"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194D6CBB"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4A50F03D"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23A51D8A" w14:textId="77777777" w:rsidTr="00DF78AB">
        <w:trPr>
          <w:trHeight w:hRule="exact" w:val="36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61F036DC"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Village near camps</w:t>
            </w:r>
          </w:p>
        </w:tc>
        <w:tc>
          <w:tcPr>
            <w:tcW w:w="2265" w:type="dxa"/>
            <w:tcBorders>
              <w:top w:val="nil"/>
              <w:left w:val="nil"/>
              <w:bottom w:val="single" w:sz="4" w:space="0" w:color="auto"/>
              <w:right w:val="single" w:sz="4" w:space="0" w:color="auto"/>
            </w:tcBorders>
            <w:shd w:val="clear" w:color="auto" w:fill="auto"/>
            <w:noWrap/>
            <w:vAlign w:val="center"/>
            <w:hideMark/>
          </w:tcPr>
          <w:p w14:paraId="577570A9" w14:textId="77777777"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Say Tha Mar Gyi village</w:t>
            </w:r>
          </w:p>
        </w:tc>
        <w:tc>
          <w:tcPr>
            <w:tcW w:w="895" w:type="dxa"/>
            <w:tcBorders>
              <w:top w:val="nil"/>
              <w:left w:val="nil"/>
              <w:bottom w:val="single" w:sz="4" w:space="0" w:color="auto"/>
              <w:right w:val="single" w:sz="4" w:space="0" w:color="auto"/>
            </w:tcBorders>
            <w:shd w:val="clear" w:color="auto" w:fill="auto"/>
            <w:noWrap/>
            <w:vAlign w:val="center"/>
            <w:hideMark/>
          </w:tcPr>
          <w:p w14:paraId="4F6FDBF6"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6</w:t>
            </w:r>
          </w:p>
        </w:tc>
        <w:tc>
          <w:tcPr>
            <w:tcW w:w="450" w:type="dxa"/>
            <w:tcBorders>
              <w:top w:val="nil"/>
              <w:left w:val="nil"/>
              <w:bottom w:val="single" w:sz="4" w:space="0" w:color="auto"/>
              <w:right w:val="single" w:sz="4" w:space="0" w:color="auto"/>
            </w:tcBorders>
            <w:shd w:val="clear" w:color="auto" w:fill="auto"/>
            <w:noWrap/>
            <w:vAlign w:val="center"/>
            <w:hideMark/>
          </w:tcPr>
          <w:p w14:paraId="11563AAC"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341584D8"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38961A53"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717CC368"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5A616424"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CCCCCC"/>
            <w:noWrap/>
            <w:vAlign w:val="center"/>
            <w:hideMark/>
          </w:tcPr>
          <w:p w14:paraId="654BA08D"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215B3B82"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6</w:t>
            </w:r>
          </w:p>
        </w:tc>
        <w:tc>
          <w:tcPr>
            <w:tcW w:w="450" w:type="dxa"/>
            <w:tcBorders>
              <w:top w:val="nil"/>
              <w:left w:val="nil"/>
              <w:bottom w:val="single" w:sz="4" w:space="0" w:color="auto"/>
              <w:right w:val="single" w:sz="4" w:space="0" w:color="auto"/>
            </w:tcBorders>
            <w:shd w:val="clear" w:color="auto" w:fill="auto"/>
            <w:noWrap/>
            <w:vAlign w:val="center"/>
            <w:hideMark/>
          </w:tcPr>
          <w:p w14:paraId="4406AE7C"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4F60B718"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4C5CEAB6"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70E41F91" w14:textId="77777777" w:rsidTr="00DF78AB">
        <w:trPr>
          <w:trHeight w:hRule="exact" w:val="360"/>
        </w:trPr>
        <w:tc>
          <w:tcPr>
            <w:tcW w:w="1470" w:type="dxa"/>
            <w:tcBorders>
              <w:top w:val="nil"/>
              <w:left w:val="single" w:sz="4" w:space="0" w:color="auto"/>
              <w:bottom w:val="nil"/>
              <w:right w:val="single" w:sz="4" w:space="0" w:color="auto"/>
            </w:tcBorders>
            <w:shd w:val="clear" w:color="auto" w:fill="auto"/>
            <w:vAlign w:val="center"/>
            <w:hideMark/>
          </w:tcPr>
          <w:p w14:paraId="106AED4F"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Camp with IDPs</w:t>
            </w:r>
          </w:p>
        </w:tc>
        <w:tc>
          <w:tcPr>
            <w:tcW w:w="2265" w:type="dxa"/>
            <w:tcBorders>
              <w:top w:val="nil"/>
              <w:left w:val="nil"/>
              <w:bottom w:val="nil"/>
              <w:right w:val="single" w:sz="4" w:space="0" w:color="auto"/>
            </w:tcBorders>
            <w:shd w:val="clear" w:color="auto" w:fill="auto"/>
            <w:noWrap/>
            <w:vAlign w:val="center"/>
            <w:hideMark/>
          </w:tcPr>
          <w:p w14:paraId="711EAFAF" w14:textId="77777777"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Basara</w:t>
            </w:r>
          </w:p>
        </w:tc>
        <w:tc>
          <w:tcPr>
            <w:tcW w:w="895" w:type="dxa"/>
            <w:tcBorders>
              <w:top w:val="nil"/>
              <w:left w:val="nil"/>
              <w:bottom w:val="nil"/>
              <w:right w:val="single" w:sz="4" w:space="0" w:color="auto"/>
            </w:tcBorders>
            <w:shd w:val="clear" w:color="auto" w:fill="auto"/>
            <w:noWrap/>
            <w:vAlign w:val="center"/>
            <w:hideMark/>
          </w:tcPr>
          <w:p w14:paraId="4146D16C"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7</w:t>
            </w:r>
          </w:p>
        </w:tc>
        <w:tc>
          <w:tcPr>
            <w:tcW w:w="450" w:type="dxa"/>
            <w:tcBorders>
              <w:top w:val="nil"/>
              <w:left w:val="nil"/>
              <w:bottom w:val="nil"/>
              <w:right w:val="single" w:sz="4" w:space="0" w:color="auto"/>
            </w:tcBorders>
            <w:shd w:val="clear" w:color="auto" w:fill="auto"/>
            <w:noWrap/>
            <w:vAlign w:val="center"/>
            <w:hideMark/>
          </w:tcPr>
          <w:p w14:paraId="54DCF805"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3C23C536"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435189F3"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2A26073F"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0FF0B8CF"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7</w:t>
            </w:r>
          </w:p>
        </w:tc>
        <w:tc>
          <w:tcPr>
            <w:tcW w:w="450" w:type="dxa"/>
            <w:tcBorders>
              <w:top w:val="nil"/>
              <w:left w:val="nil"/>
              <w:bottom w:val="nil"/>
              <w:right w:val="single" w:sz="4" w:space="0" w:color="auto"/>
            </w:tcBorders>
            <w:shd w:val="clear" w:color="auto" w:fill="CCCCCC"/>
            <w:noWrap/>
            <w:vAlign w:val="center"/>
            <w:hideMark/>
          </w:tcPr>
          <w:p w14:paraId="20EE842A"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7951041D"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3417C9F7"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0FABE545"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5087480E"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64DCCEDB" w14:textId="77777777" w:rsidTr="00DF78AB">
        <w:trPr>
          <w:trHeight w:hRule="exact" w:val="36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7A9BFFBF"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Village near camps</w:t>
            </w:r>
          </w:p>
        </w:tc>
        <w:tc>
          <w:tcPr>
            <w:tcW w:w="2265" w:type="dxa"/>
            <w:tcBorders>
              <w:top w:val="nil"/>
              <w:left w:val="nil"/>
              <w:bottom w:val="single" w:sz="4" w:space="0" w:color="auto"/>
              <w:right w:val="single" w:sz="4" w:space="0" w:color="auto"/>
            </w:tcBorders>
            <w:shd w:val="clear" w:color="auto" w:fill="auto"/>
            <w:noWrap/>
            <w:vAlign w:val="center"/>
            <w:hideMark/>
          </w:tcPr>
          <w:p w14:paraId="4DAF4F2D" w14:textId="77777777"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Basara village</w:t>
            </w:r>
          </w:p>
        </w:tc>
        <w:tc>
          <w:tcPr>
            <w:tcW w:w="895" w:type="dxa"/>
            <w:tcBorders>
              <w:top w:val="nil"/>
              <w:left w:val="nil"/>
              <w:bottom w:val="single" w:sz="4" w:space="0" w:color="auto"/>
              <w:right w:val="single" w:sz="4" w:space="0" w:color="auto"/>
            </w:tcBorders>
            <w:shd w:val="clear" w:color="auto" w:fill="auto"/>
            <w:noWrap/>
            <w:vAlign w:val="center"/>
            <w:hideMark/>
          </w:tcPr>
          <w:p w14:paraId="597D56E0"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2</w:t>
            </w:r>
          </w:p>
        </w:tc>
        <w:tc>
          <w:tcPr>
            <w:tcW w:w="450" w:type="dxa"/>
            <w:tcBorders>
              <w:top w:val="nil"/>
              <w:left w:val="nil"/>
              <w:bottom w:val="single" w:sz="4" w:space="0" w:color="auto"/>
              <w:right w:val="single" w:sz="4" w:space="0" w:color="auto"/>
            </w:tcBorders>
            <w:shd w:val="clear" w:color="auto" w:fill="auto"/>
            <w:noWrap/>
            <w:vAlign w:val="center"/>
            <w:hideMark/>
          </w:tcPr>
          <w:p w14:paraId="387AADEF"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556F8C81"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336E132C"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20E23E73"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228295D9"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2</w:t>
            </w:r>
          </w:p>
        </w:tc>
        <w:tc>
          <w:tcPr>
            <w:tcW w:w="450" w:type="dxa"/>
            <w:tcBorders>
              <w:top w:val="nil"/>
              <w:left w:val="nil"/>
              <w:bottom w:val="single" w:sz="4" w:space="0" w:color="auto"/>
              <w:right w:val="single" w:sz="4" w:space="0" w:color="auto"/>
            </w:tcBorders>
            <w:shd w:val="clear" w:color="auto" w:fill="CCCCCC"/>
            <w:noWrap/>
            <w:vAlign w:val="center"/>
            <w:hideMark/>
          </w:tcPr>
          <w:p w14:paraId="06BB7808"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60F88859"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39939613"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6DF12546"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572FEE7B"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286583D8" w14:textId="77777777" w:rsidTr="00DF78AB">
        <w:trPr>
          <w:trHeight w:hRule="exact" w:val="360"/>
        </w:trPr>
        <w:tc>
          <w:tcPr>
            <w:tcW w:w="1470" w:type="dxa"/>
            <w:tcBorders>
              <w:top w:val="nil"/>
              <w:left w:val="single" w:sz="4" w:space="0" w:color="auto"/>
              <w:bottom w:val="nil"/>
              <w:right w:val="single" w:sz="4" w:space="0" w:color="auto"/>
            </w:tcBorders>
            <w:shd w:val="clear" w:color="auto" w:fill="auto"/>
            <w:vAlign w:val="center"/>
            <w:hideMark/>
          </w:tcPr>
          <w:p w14:paraId="05F8902A"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Camp with IDPs</w:t>
            </w:r>
          </w:p>
        </w:tc>
        <w:tc>
          <w:tcPr>
            <w:tcW w:w="2265" w:type="dxa"/>
            <w:tcBorders>
              <w:top w:val="nil"/>
              <w:left w:val="nil"/>
              <w:bottom w:val="nil"/>
              <w:right w:val="single" w:sz="4" w:space="0" w:color="auto"/>
            </w:tcBorders>
            <w:shd w:val="clear" w:color="auto" w:fill="auto"/>
            <w:noWrap/>
            <w:vAlign w:val="center"/>
            <w:hideMark/>
          </w:tcPr>
          <w:p w14:paraId="2BBF3E40" w14:textId="77777777"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Ohn Taw Gyi North</w:t>
            </w:r>
          </w:p>
        </w:tc>
        <w:tc>
          <w:tcPr>
            <w:tcW w:w="895" w:type="dxa"/>
            <w:tcBorders>
              <w:top w:val="nil"/>
              <w:left w:val="nil"/>
              <w:bottom w:val="nil"/>
              <w:right w:val="single" w:sz="4" w:space="0" w:color="auto"/>
            </w:tcBorders>
            <w:shd w:val="clear" w:color="auto" w:fill="auto"/>
            <w:noWrap/>
            <w:vAlign w:val="center"/>
            <w:hideMark/>
          </w:tcPr>
          <w:p w14:paraId="62C3F06B"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48</w:t>
            </w:r>
          </w:p>
        </w:tc>
        <w:tc>
          <w:tcPr>
            <w:tcW w:w="450" w:type="dxa"/>
            <w:tcBorders>
              <w:top w:val="nil"/>
              <w:left w:val="nil"/>
              <w:bottom w:val="nil"/>
              <w:right w:val="single" w:sz="4" w:space="0" w:color="auto"/>
            </w:tcBorders>
            <w:shd w:val="clear" w:color="auto" w:fill="auto"/>
            <w:noWrap/>
            <w:vAlign w:val="center"/>
            <w:hideMark/>
          </w:tcPr>
          <w:p w14:paraId="11EB2A8A"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05CBB8AB"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73782500"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633069A2"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nil"/>
              <w:right w:val="single" w:sz="4" w:space="0" w:color="auto"/>
            </w:tcBorders>
            <w:shd w:val="clear" w:color="auto" w:fill="auto"/>
            <w:noWrap/>
            <w:vAlign w:val="center"/>
            <w:hideMark/>
          </w:tcPr>
          <w:p w14:paraId="535156C6"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CCCCCC"/>
            <w:noWrap/>
            <w:vAlign w:val="center"/>
            <w:hideMark/>
          </w:tcPr>
          <w:p w14:paraId="727ACB7C"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6BDD40EA"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22104E5D"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single" w:sz="4" w:space="0" w:color="auto"/>
            </w:tcBorders>
            <w:shd w:val="clear" w:color="auto" w:fill="auto"/>
            <w:noWrap/>
            <w:vAlign w:val="center"/>
            <w:hideMark/>
          </w:tcPr>
          <w:p w14:paraId="669B1B47"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48</w:t>
            </w:r>
          </w:p>
        </w:tc>
        <w:tc>
          <w:tcPr>
            <w:tcW w:w="450" w:type="dxa"/>
            <w:tcBorders>
              <w:top w:val="nil"/>
              <w:left w:val="nil"/>
              <w:bottom w:val="nil"/>
              <w:right w:val="single" w:sz="4" w:space="0" w:color="auto"/>
            </w:tcBorders>
            <w:shd w:val="clear" w:color="auto" w:fill="auto"/>
            <w:noWrap/>
            <w:vAlign w:val="center"/>
            <w:hideMark/>
          </w:tcPr>
          <w:p w14:paraId="6772564C"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1918EF7F" w14:textId="77777777" w:rsidTr="00EA2081">
        <w:trPr>
          <w:trHeight w:hRule="exact" w:val="36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597FADF7"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Village near camps</w:t>
            </w:r>
          </w:p>
        </w:tc>
        <w:tc>
          <w:tcPr>
            <w:tcW w:w="2265" w:type="dxa"/>
            <w:tcBorders>
              <w:top w:val="nil"/>
              <w:left w:val="nil"/>
              <w:bottom w:val="single" w:sz="4" w:space="0" w:color="auto"/>
              <w:right w:val="single" w:sz="4" w:space="0" w:color="auto"/>
            </w:tcBorders>
            <w:shd w:val="clear" w:color="auto" w:fill="auto"/>
            <w:noWrap/>
            <w:vAlign w:val="center"/>
            <w:hideMark/>
          </w:tcPr>
          <w:p w14:paraId="1241B4ED" w14:textId="77777777"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Ohn Taw Gyi village</w:t>
            </w:r>
          </w:p>
        </w:tc>
        <w:tc>
          <w:tcPr>
            <w:tcW w:w="895" w:type="dxa"/>
            <w:tcBorders>
              <w:top w:val="nil"/>
              <w:left w:val="nil"/>
              <w:bottom w:val="single" w:sz="4" w:space="0" w:color="auto"/>
              <w:right w:val="single" w:sz="4" w:space="0" w:color="auto"/>
            </w:tcBorders>
            <w:shd w:val="clear" w:color="auto" w:fill="auto"/>
            <w:noWrap/>
            <w:vAlign w:val="center"/>
            <w:hideMark/>
          </w:tcPr>
          <w:p w14:paraId="7DC6938D"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8</w:t>
            </w:r>
          </w:p>
        </w:tc>
        <w:tc>
          <w:tcPr>
            <w:tcW w:w="450" w:type="dxa"/>
            <w:tcBorders>
              <w:top w:val="nil"/>
              <w:left w:val="nil"/>
              <w:bottom w:val="single" w:sz="4" w:space="0" w:color="auto"/>
              <w:right w:val="single" w:sz="4" w:space="0" w:color="auto"/>
            </w:tcBorders>
            <w:shd w:val="clear" w:color="auto" w:fill="auto"/>
            <w:noWrap/>
            <w:vAlign w:val="center"/>
            <w:hideMark/>
          </w:tcPr>
          <w:p w14:paraId="461795E9"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11DEF812"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31DF77A6"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64FDDC1E"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79F2494E"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CCCCCC"/>
            <w:noWrap/>
            <w:vAlign w:val="center"/>
            <w:hideMark/>
          </w:tcPr>
          <w:p w14:paraId="5EF33071"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329649AD"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4A953788"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59803366"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8</w:t>
            </w:r>
          </w:p>
        </w:tc>
        <w:tc>
          <w:tcPr>
            <w:tcW w:w="450" w:type="dxa"/>
            <w:tcBorders>
              <w:top w:val="nil"/>
              <w:left w:val="nil"/>
              <w:bottom w:val="single" w:sz="4" w:space="0" w:color="auto"/>
              <w:right w:val="single" w:sz="4" w:space="0" w:color="auto"/>
            </w:tcBorders>
            <w:shd w:val="clear" w:color="auto" w:fill="auto"/>
            <w:noWrap/>
            <w:vAlign w:val="center"/>
            <w:hideMark/>
          </w:tcPr>
          <w:p w14:paraId="2640A57A"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663C79FB" w14:textId="77777777" w:rsidTr="00EA2081">
        <w:trPr>
          <w:trHeight w:hRule="exact" w:val="36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6CA89B20"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Camp with IDPs</w:t>
            </w:r>
          </w:p>
        </w:tc>
        <w:tc>
          <w:tcPr>
            <w:tcW w:w="2265" w:type="dxa"/>
            <w:tcBorders>
              <w:top w:val="single" w:sz="4" w:space="0" w:color="auto"/>
              <w:left w:val="nil"/>
              <w:bottom w:val="single" w:sz="4" w:space="0" w:color="auto"/>
              <w:right w:val="single" w:sz="4" w:space="0" w:color="auto"/>
            </w:tcBorders>
            <w:shd w:val="clear" w:color="auto" w:fill="CCFFCC"/>
            <w:noWrap/>
            <w:vAlign w:val="center"/>
            <w:hideMark/>
          </w:tcPr>
          <w:p w14:paraId="1B53F91D" w14:textId="77777777"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Sat Roe Kya 2 (Rakhine)</w:t>
            </w:r>
          </w:p>
        </w:tc>
        <w:tc>
          <w:tcPr>
            <w:tcW w:w="895" w:type="dxa"/>
            <w:tcBorders>
              <w:top w:val="nil"/>
              <w:left w:val="nil"/>
              <w:bottom w:val="single" w:sz="4" w:space="0" w:color="auto"/>
              <w:right w:val="single" w:sz="4" w:space="0" w:color="auto"/>
            </w:tcBorders>
            <w:shd w:val="clear" w:color="auto" w:fill="auto"/>
            <w:noWrap/>
            <w:vAlign w:val="center"/>
            <w:hideMark/>
          </w:tcPr>
          <w:p w14:paraId="7F8882F5"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7</w:t>
            </w:r>
          </w:p>
        </w:tc>
        <w:tc>
          <w:tcPr>
            <w:tcW w:w="450" w:type="dxa"/>
            <w:tcBorders>
              <w:top w:val="nil"/>
              <w:left w:val="nil"/>
              <w:bottom w:val="single" w:sz="4" w:space="0" w:color="auto"/>
              <w:right w:val="single" w:sz="4" w:space="0" w:color="auto"/>
            </w:tcBorders>
            <w:shd w:val="clear" w:color="auto" w:fill="auto"/>
            <w:noWrap/>
            <w:vAlign w:val="center"/>
            <w:hideMark/>
          </w:tcPr>
          <w:p w14:paraId="3314DE66"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42A4D063"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47DB3DEE"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CCFFCC"/>
            <w:noWrap/>
            <w:vAlign w:val="center"/>
            <w:hideMark/>
          </w:tcPr>
          <w:p w14:paraId="40E3B6BE"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7</w:t>
            </w:r>
          </w:p>
        </w:tc>
        <w:tc>
          <w:tcPr>
            <w:tcW w:w="450" w:type="dxa"/>
            <w:tcBorders>
              <w:top w:val="nil"/>
              <w:left w:val="nil"/>
              <w:bottom w:val="nil"/>
              <w:right w:val="nil"/>
            </w:tcBorders>
            <w:shd w:val="clear" w:color="auto" w:fill="auto"/>
            <w:noWrap/>
            <w:vAlign w:val="center"/>
            <w:hideMark/>
          </w:tcPr>
          <w:p w14:paraId="7AE66459"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single" w:sz="4" w:space="0" w:color="auto"/>
              <w:bottom w:val="single" w:sz="4" w:space="0" w:color="auto"/>
              <w:right w:val="single" w:sz="4" w:space="0" w:color="auto"/>
            </w:tcBorders>
            <w:shd w:val="clear" w:color="auto" w:fill="CCCCCC"/>
            <w:noWrap/>
            <w:vAlign w:val="center"/>
            <w:hideMark/>
          </w:tcPr>
          <w:p w14:paraId="73A4958D"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0C0A3FBB"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003BA601"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0B5C2944"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69A7D252"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2AEAB17B" w14:textId="77777777" w:rsidTr="00EA2081">
        <w:trPr>
          <w:trHeight w:hRule="exact" w:val="36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392079CF"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Camp with IDPs</w:t>
            </w:r>
          </w:p>
        </w:tc>
        <w:tc>
          <w:tcPr>
            <w:tcW w:w="2265" w:type="dxa"/>
            <w:tcBorders>
              <w:top w:val="single" w:sz="4" w:space="0" w:color="auto"/>
              <w:left w:val="nil"/>
              <w:bottom w:val="single" w:sz="4" w:space="0" w:color="auto"/>
              <w:right w:val="single" w:sz="4" w:space="0" w:color="auto"/>
            </w:tcBorders>
            <w:shd w:val="clear" w:color="auto" w:fill="CCFFCC"/>
            <w:noWrap/>
            <w:vAlign w:val="center"/>
            <w:hideMark/>
          </w:tcPr>
          <w:p w14:paraId="2DEDDC0F" w14:textId="77777777"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Set Yone Su 3 (Rakhine)</w:t>
            </w:r>
          </w:p>
        </w:tc>
        <w:tc>
          <w:tcPr>
            <w:tcW w:w="895" w:type="dxa"/>
            <w:tcBorders>
              <w:top w:val="nil"/>
              <w:left w:val="nil"/>
              <w:bottom w:val="single" w:sz="4" w:space="0" w:color="auto"/>
              <w:right w:val="single" w:sz="4" w:space="0" w:color="auto"/>
            </w:tcBorders>
            <w:shd w:val="clear" w:color="auto" w:fill="auto"/>
            <w:noWrap/>
            <w:vAlign w:val="center"/>
            <w:hideMark/>
          </w:tcPr>
          <w:p w14:paraId="191FE778"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2</w:t>
            </w:r>
          </w:p>
        </w:tc>
        <w:tc>
          <w:tcPr>
            <w:tcW w:w="450" w:type="dxa"/>
            <w:tcBorders>
              <w:top w:val="nil"/>
              <w:left w:val="nil"/>
              <w:bottom w:val="single" w:sz="4" w:space="0" w:color="auto"/>
              <w:right w:val="single" w:sz="4" w:space="0" w:color="auto"/>
            </w:tcBorders>
            <w:shd w:val="clear" w:color="auto" w:fill="auto"/>
            <w:noWrap/>
            <w:vAlign w:val="center"/>
            <w:hideMark/>
          </w:tcPr>
          <w:p w14:paraId="77FFAD06"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269DB57E"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CCFFCC"/>
            <w:noWrap/>
            <w:vAlign w:val="center"/>
            <w:hideMark/>
          </w:tcPr>
          <w:p w14:paraId="0B48756C"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2</w:t>
            </w:r>
          </w:p>
        </w:tc>
        <w:tc>
          <w:tcPr>
            <w:tcW w:w="450" w:type="dxa"/>
            <w:tcBorders>
              <w:top w:val="nil"/>
              <w:left w:val="nil"/>
              <w:bottom w:val="single" w:sz="4" w:space="0" w:color="auto"/>
              <w:right w:val="single" w:sz="4" w:space="0" w:color="auto"/>
            </w:tcBorders>
            <w:shd w:val="clear" w:color="auto" w:fill="auto"/>
            <w:noWrap/>
            <w:vAlign w:val="center"/>
            <w:hideMark/>
          </w:tcPr>
          <w:p w14:paraId="75CD711F"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657997A3"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CCCCCC"/>
            <w:noWrap/>
            <w:vAlign w:val="center"/>
            <w:hideMark/>
          </w:tcPr>
          <w:p w14:paraId="04BB3F48"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1E775253"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629DF139"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603C04F3"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single" w:sz="4" w:space="0" w:color="auto"/>
              <w:right w:val="single" w:sz="4" w:space="0" w:color="auto"/>
            </w:tcBorders>
            <w:shd w:val="clear" w:color="auto" w:fill="auto"/>
            <w:noWrap/>
            <w:vAlign w:val="center"/>
            <w:hideMark/>
          </w:tcPr>
          <w:p w14:paraId="7996D808"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40EF91BA" w14:textId="77777777" w:rsidTr="006E7C3F">
        <w:trPr>
          <w:trHeight w:val="440"/>
        </w:trPr>
        <w:tc>
          <w:tcPr>
            <w:tcW w:w="1470" w:type="dxa"/>
            <w:tcBorders>
              <w:top w:val="nil"/>
              <w:left w:val="nil"/>
              <w:bottom w:val="nil"/>
              <w:right w:val="nil"/>
            </w:tcBorders>
            <w:shd w:val="clear" w:color="auto" w:fill="auto"/>
            <w:vAlign w:val="center"/>
            <w:hideMark/>
          </w:tcPr>
          <w:p w14:paraId="08A777DB" w14:textId="77777777" w:rsidR="006E7C3F" w:rsidRPr="006E7C3F" w:rsidRDefault="006E7C3F" w:rsidP="00DF78AB">
            <w:pPr>
              <w:rPr>
                <w:rFonts w:ascii="Arial Narrow" w:eastAsia="Times New Roman" w:hAnsi="Arial Narrow" w:cs="Arial"/>
                <w:sz w:val="18"/>
                <w:szCs w:val="18"/>
              </w:rPr>
            </w:pPr>
          </w:p>
        </w:tc>
        <w:tc>
          <w:tcPr>
            <w:tcW w:w="2265" w:type="dxa"/>
            <w:tcBorders>
              <w:top w:val="nil"/>
              <w:left w:val="nil"/>
              <w:bottom w:val="nil"/>
              <w:right w:val="nil"/>
            </w:tcBorders>
            <w:shd w:val="clear" w:color="auto" w:fill="auto"/>
            <w:noWrap/>
            <w:vAlign w:val="center"/>
            <w:hideMark/>
          </w:tcPr>
          <w:p w14:paraId="1BADBA91" w14:textId="77777777" w:rsidR="006E7C3F" w:rsidRPr="006E7C3F" w:rsidRDefault="006E7C3F" w:rsidP="006E7C3F">
            <w:pPr>
              <w:jc w:val="right"/>
              <w:rPr>
                <w:rFonts w:ascii="Arial Narrow" w:eastAsia="Times New Roman" w:hAnsi="Arial Narrow" w:cs="Arial"/>
                <w:sz w:val="18"/>
                <w:szCs w:val="18"/>
              </w:rPr>
            </w:pPr>
          </w:p>
        </w:tc>
        <w:tc>
          <w:tcPr>
            <w:tcW w:w="895" w:type="dxa"/>
            <w:tcBorders>
              <w:top w:val="nil"/>
              <w:left w:val="nil"/>
              <w:bottom w:val="nil"/>
              <w:right w:val="nil"/>
            </w:tcBorders>
            <w:shd w:val="clear" w:color="auto" w:fill="auto"/>
            <w:noWrap/>
            <w:vAlign w:val="center"/>
            <w:hideMark/>
          </w:tcPr>
          <w:p w14:paraId="72DB1461"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397</w:t>
            </w:r>
          </w:p>
        </w:tc>
        <w:tc>
          <w:tcPr>
            <w:tcW w:w="450" w:type="dxa"/>
            <w:tcBorders>
              <w:top w:val="nil"/>
              <w:left w:val="nil"/>
              <w:bottom w:val="nil"/>
              <w:right w:val="nil"/>
            </w:tcBorders>
            <w:shd w:val="clear" w:color="auto" w:fill="auto"/>
            <w:noWrap/>
            <w:vAlign w:val="center"/>
            <w:hideMark/>
          </w:tcPr>
          <w:p w14:paraId="59A9C6EC"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34</w:t>
            </w:r>
          </w:p>
        </w:tc>
        <w:tc>
          <w:tcPr>
            <w:tcW w:w="450" w:type="dxa"/>
            <w:tcBorders>
              <w:top w:val="nil"/>
              <w:left w:val="nil"/>
              <w:bottom w:val="nil"/>
              <w:right w:val="nil"/>
            </w:tcBorders>
            <w:shd w:val="clear" w:color="auto" w:fill="auto"/>
            <w:noWrap/>
            <w:vAlign w:val="center"/>
            <w:hideMark/>
          </w:tcPr>
          <w:p w14:paraId="614124F9"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55</w:t>
            </w:r>
          </w:p>
        </w:tc>
        <w:tc>
          <w:tcPr>
            <w:tcW w:w="450" w:type="dxa"/>
            <w:tcBorders>
              <w:top w:val="nil"/>
              <w:left w:val="nil"/>
              <w:bottom w:val="nil"/>
              <w:right w:val="nil"/>
            </w:tcBorders>
            <w:shd w:val="clear" w:color="auto" w:fill="auto"/>
            <w:noWrap/>
            <w:vAlign w:val="center"/>
            <w:hideMark/>
          </w:tcPr>
          <w:p w14:paraId="1B344B1D"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55</w:t>
            </w:r>
          </w:p>
        </w:tc>
        <w:tc>
          <w:tcPr>
            <w:tcW w:w="450" w:type="dxa"/>
            <w:tcBorders>
              <w:top w:val="nil"/>
              <w:left w:val="nil"/>
              <w:bottom w:val="nil"/>
              <w:right w:val="nil"/>
            </w:tcBorders>
            <w:shd w:val="clear" w:color="auto" w:fill="auto"/>
            <w:noWrap/>
            <w:vAlign w:val="center"/>
            <w:hideMark/>
          </w:tcPr>
          <w:p w14:paraId="4032452B"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7</w:t>
            </w:r>
          </w:p>
        </w:tc>
        <w:tc>
          <w:tcPr>
            <w:tcW w:w="450" w:type="dxa"/>
            <w:tcBorders>
              <w:top w:val="nil"/>
              <w:left w:val="nil"/>
              <w:bottom w:val="nil"/>
              <w:right w:val="nil"/>
            </w:tcBorders>
            <w:shd w:val="clear" w:color="auto" w:fill="auto"/>
            <w:noWrap/>
            <w:vAlign w:val="center"/>
            <w:hideMark/>
          </w:tcPr>
          <w:p w14:paraId="63944DD9"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53</w:t>
            </w:r>
          </w:p>
        </w:tc>
        <w:tc>
          <w:tcPr>
            <w:tcW w:w="450" w:type="dxa"/>
            <w:tcBorders>
              <w:top w:val="nil"/>
              <w:left w:val="nil"/>
              <w:bottom w:val="nil"/>
              <w:right w:val="nil"/>
            </w:tcBorders>
            <w:shd w:val="clear" w:color="auto" w:fill="auto"/>
            <w:noWrap/>
            <w:vAlign w:val="center"/>
            <w:hideMark/>
          </w:tcPr>
          <w:p w14:paraId="4B7B65C2" w14:textId="77777777" w:rsidR="006E7C3F" w:rsidRPr="006E7C3F" w:rsidRDefault="006E7C3F" w:rsidP="006E7C3F">
            <w:pPr>
              <w:jc w:val="center"/>
              <w:rPr>
                <w:rFonts w:ascii="Arial Narrow" w:eastAsia="Times New Roman" w:hAnsi="Arial Narrow" w:cs="Arial"/>
                <w:b/>
                <w:bCs/>
                <w:sz w:val="18"/>
                <w:szCs w:val="18"/>
              </w:rPr>
            </w:pPr>
          </w:p>
        </w:tc>
        <w:tc>
          <w:tcPr>
            <w:tcW w:w="450" w:type="dxa"/>
            <w:tcBorders>
              <w:top w:val="nil"/>
              <w:left w:val="nil"/>
              <w:bottom w:val="nil"/>
              <w:right w:val="nil"/>
            </w:tcBorders>
            <w:shd w:val="clear" w:color="auto" w:fill="auto"/>
            <w:noWrap/>
            <w:vAlign w:val="center"/>
            <w:hideMark/>
          </w:tcPr>
          <w:p w14:paraId="57FB9AD8"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49</w:t>
            </w:r>
          </w:p>
        </w:tc>
        <w:tc>
          <w:tcPr>
            <w:tcW w:w="450" w:type="dxa"/>
            <w:tcBorders>
              <w:top w:val="nil"/>
              <w:left w:val="nil"/>
              <w:bottom w:val="nil"/>
              <w:right w:val="nil"/>
            </w:tcBorders>
            <w:shd w:val="clear" w:color="auto" w:fill="auto"/>
            <w:noWrap/>
            <w:vAlign w:val="center"/>
            <w:hideMark/>
          </w:tcPr>
          <w:p w14:paraId="6A70225D"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36</w:t>
            </w:r>
          </w:p>
        </w:tc>
        <w:tc>
          <w:tcPr>
            <w:tcW w:w="450" w:type="dxa"/>
            <w:tcBorders>
              <w:top w:val="nil"/>
              <w:left w:val="nil"/>
              <w:bottom w:val="nil"/>
              <w:right w:val="nil"/>
            </w:tcBorders>
            <w:shd w:val="clear" w:color="auto" w:fill="auto"/>
            <w:noWrap/>
            <w:vAlign w:val="center"/>
            <w:hideMark/>
          </w:tcPr>
          <w:p w14:paraId="6AE33814"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56</w:t>
            </w:r>
          </w:p>
        </w:tc>
        <w:tc>
          <w:tcPr>
            <w:tcW w:w="450" w:type="dxa"/>
            <w:tcBorders>
              <w:top w:val="nil"/>
              <w:left w:val="nil"/>
              <w:bottom w:val="nil"/>
              <w:right w:val="nil"/>
            </w:tcBorders>
            <w:shd w:val="clear" w:color="auto" w:fill="auto"/>
            <w:noWrap/>
            <w:vAlign w:val="center"/>
            <w:hideMark/>
          </w:tcPr>
          <w:p w14:paraId="29EB3F7E"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52</w:t>
            </w:r>
          </w:p>
        </w:tc>
      </w:tr>
      <w:tr w:rsidR="006E7C3F" w:rsidRPr="006E7C3F" w14:paraId="269C6310" w14:textId="77777777" w:rsidTr="00DF78AB">
        <w:trPr>
          <w:trHeight w:val="99"/>
        </w:trPr>
        <w:tc>
          <w:tcPr>
            <w:tcW w:w="1470" w:type="dxa"/>
            <w:tcBorders>
              <w:top w:val="nil"/>
              <w:left w:val="nil"/>
              <w:bottom w:val="single" w:sz="4" w:space="0" w:color="auto"/>
              <w:right w:val="nil"/>
            </w:tcBorders>
            <w:shd w:val="clear" w:color="auto" w:fill="auto"/>
            <w:vAlign w:val="center"/>
            <w:hideMark/>
          </w:tcPr>
          <w:p w14:paraId="41B654F4" w14:textId="77777777" w:rsidR="006E7C3F" w:rsidRPr="006E7C3F" w:rsidRDefault="006E7C3F" w:rsidP="00DF78AB">
            <w:pPr>
              <w:rPr>
                <w:rFonts w:ascii="Arial Narrow" w:eastAsia="Times New Roman" w:hAnsi="Arial Narrow" w:cs="Arial"/>
                <w:sz w:val="18"/>
                <w:szCs w:val="18"/>
              </w:rPr>
            </w:pPr>
          </w:p>
        </w:tc>
        <w:tc>
          <w:tcPr>
            <w:tcW w:w="2265" w:type="dxa"/>
            <w:tcBorders>
              <w:top w:val="nil"/>
              <w:left w:val="nil"/>
              <w:bottom w:val="single" w:sz="4" w:space="0" w:color="auto"/>
              <w:right w:val="nil"/>
            </w:tcBorders>
            <w:shd w:val="clear" w:color="auto" w:fill="auto"/>
            <w:noWrap/>
            <w:vAlign w:val="center"/>
            <w:hideMark/>
          </w:tcPr>
          <w:p w14:paraId="0AE5D9F4" w14:textId="77777777" w:rsidR="006E7C3F" w:rsidRPr="006E7C3F" w:rsidRDefault="006E7C3F" w:rsidP="006E7C3F">
            <w:pPr>
              <w:jc w:val="right"/>
              <w:rPr>
                <w:rFonts w:ascii="Arial Narrow" w:eastAsia="Times New Roman" w:hAnsi="Arial Narrow" w:cs="Arial"/>
                <w:sz w:val="18"/>
                <w:szCs w:val="18"/>
              </w:rPr>
            </w:pPr>
          </w:p>
        </w:tc>
        <w:tc>
          <w:tcPr>
            <w:tcW w:w="895" w:type="dxa"/>
            <w:tcBorders>
              <w:top w:val="nil"/>
              <w:left w:val="nil"/>
              <w:bottom w:val="single" w:sz="4" w:space="0" w:color="auto"/>
              <w:right w:val="nil"/>
            </w:tcBorders>
            <w:shd w:val="clear" w:color="auto" w:fill="auto"/>
            <w:noWrap/>
            <w:vAlign w:val="center"/>
            <w:hideMark/>
          </w:tcPr>
          <w:p w14:paraId="2EE719CB" w14:textId="77777777" w:rsidR="006E7C3F" w:rsidRPr="006E7C3F" w:rsidRDefault="006E7C3F" w:rsidP="006E7C3F">
            <w:pPr>
              <w:jc w:val="right"/>
              <w:rPr>
                <w:rFonts w:ascii="Arial Narrow" w:eastAsia="Times New Roman" w:hAnsi="Arial Narrow" w:cs="Arial"/>
                <w:sz w:val="18"/>
                <w:szCs w:val="18"/>
              </w:rPr>
            </w:pPr>
          </w:p>
        </w:tc>
        <w:tc>
          <w:tcPr>
            <w:tcW w:w="450" w:type="dxa"/>
            <w:tcBorders>
              <w:top w:val="nil"/>
              <w:left w:val="nil"/>
              <w:bottom w:val="single" w:sz="4" w:space="0" w:color="auto"/>
              <w:right w:val="nil"/>
            </w:tcBorders>
            <w:shd w:val="clear" w:color="auto" w:fill="auto"/>
            <w:noWrap/>
            <w:vAlign w:val="center"/>
            <w:hideMark/>
          </w:tcPr>
          <w:p w14:paraId="72D54467"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single" w:sz="4" w:space="0" w:color="auto"/>
              <w:right w:val="nil"/>
            </w:tcBorders>
            <w:shd w:val="clear" w:color="auto" w:fill="auto"/>
            <w:noWrap/>
            <w:vAlign w:val="center"/>
            <w:hideMark/>
          </w:tcPr>
          <w:p w14:paraId="7AAE2471"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single" w:sz="4" w:space="0" w:color="auto"/>
              <w:right w:val="nil"/>
            </w:tcBorders>
            <w:shd w:val="clear" w:color="auto" w:fill="auto"/>
            <w:noWrap/>
            <w:vAlign w:val="center"/>
            <w:hideMark/>
          </w:tcPr>
          <w:p w14:paraId="05B8FB2A"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single" w:sz="4" w:space="0" w:color="auto"/>
              <w:right w:val="nil"/>
            </w:tcBorders>
            <w:shd w:val="clear" w:color="auto" w:fill="auto"/>
            <w:noWrap/>
            <w:vAlign w:val="center"/>
            <w:hideMark/>
          </w:tcPr>
          <w:p w14:paraId="24883454"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single" w:sz="4" w:space="0" w:color="auto"/>
              <w:right w:val="nil"/>
            </w:tcBorders>
            <w:shd w:val="clear" w:color="auto" w:fill="auto"/>
            <w:noWrap/>
            <w:vAlign w:val="center"/>
            <w:hideMark/>
          </w:tcPr>
          <w:p w14:paraId="184C4B97"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single" w:sz="4" w:space="0" w:color="auto"/>
              <w:right w:val="nil"/>
            </w:tcBorders>
            <w:shd w:val="clear" w:color="auto" w:fill="auto"/>
            <w:noWrap/>
            <w:vAlign w:val="center"/>
            <w:hideMark/>
          </w:tcPr>
          <w:p w14:paraId="41FCA7DD"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single" w:sz="4" w:space="0" w:color="auto"/>
              <w:right w:val="nil"/>
            </w:tcBorders>
            <w:shd w:val="clear" w:color="auto" w:fill="auto"/>
            <w:noWrap/>
            <w:vAlign w:val="center"/>
            <w:hideMark/>
          </w:tcPr>
          <w:p w14:paraId="14C0921E"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single" w:sz="4" w:space="0" w:color="auto"/>
              <w:right w:val="nil"/>
            </w:tcBorders>
            <w:shd w:val="clear" w:color="auto" w:fill="auto"/>
            <w:noWrap/>
            <w:vAlign w:val="center"/>
            <w:hideMark/>
          </w:tcPr>
          <w:p w14:paraId="3AB251A8"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single" w:sz="4" w:space="0" w:color="auto"/>
              <w:right w:val="nil"/>
            </w:tcBorders>
            <w:shd w:val="clear" w:color="auto" w:fill="auto"/>
            <w:noWrap/>
            <w:vAlign w:val="center"/>
            <w:hideMark/>
          </w:tcPr>
          <w:p w14:paraId="65F35BD1"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single" w:sz="4" w:space="0" w:color="auto"/>
              <w:right w:val="nil"/>
            </w:tcBorders>
            <w:shd w:val="clear" w:color="auto" w:fill="auto"/>
            <w:noWrap/>
            <w:vAlign w:val="center"/>
            <w:hideMark/>
          </w:tcPr>
          <w:p w14:paraId="44164D32" w14:textId="77777777" w:rsidR="006E7C3F" w:rsidRPr="006E7C3F" w:rsidRDefault="006E7C3F" w:rsidP="006E7C3F">
            <w:pPr>
              <w:rPr>
                <w:rFonts w:ascii="Arial Narrow" w:eastAsia="Times New Roman" w:hAnsi="Arial Narrow" w:cs="Arial"/>
                <w:sz w:val="18"/>
                <w:szCs w:val="18"/>
              </w:rPr>
            </w:pPr>
          </w:p>
        </w:tc>
      </w:tr>
      <w:tr w:rsidR="006E7C3F" w:rsidRPr="006E7C3F" w14:paraId="01AD4BD5" w14:textId="77777777" w:rsidTr="00DF78AB">
        <w:trPr>
          <w:trHeight w:hRule="exact" w:val="360"/>
        </w:trPr>
        <w:tc>
          <w:tcPr>
            <w:tcW w:w="1470"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663A1254"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More remote villages</w:t>
            </w:r>
          </w:p>
        </w:tc>
        <w:tc>
          <w:tcPr>
            <w:tcW w:w="2265" w:type="dxa"/>
            <w:tcBorders>
              <w:top w:val="single" w:sz="4" w:space="0" w:color="auto"/>
              <w:left w:val="nil"/>
              <w:bottom w:val="single" w:sz="4" w:space="0" w:color="auto"/>
              <w:right w:val="single" w:sz="4" w:space="0" w:color="auto"/>
            </w:tcBorders>
            <w:shd w:val="clear" w:color="000000" w:fill="auto"/>
            <w:noWrap/>
            <w:vAlign w:val="center"/>
            <w:hideMark/>
          </w:tcPr>
          <w:p w14:paraId="5CDE0106" w14:textId="77777777"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Ah Lar Than</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14:paraId="4BDA1B38"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09531D99"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54A3196C"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10132FD6"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4B1ED1EC"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786838E0"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CCCCCC"/>
            <w:noWrap/>
            <w:vAlign w:val="center"/>
            <w:hideMark/>
          </w:tcPr>
          <w:p w14:paraId="515AEA07"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27D0E3BD"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000000" w:fill="auto"/>
            <w:noWrap/>
            <w:vAlign w:val="center"/>
            <w:hideMark/>
          </w:tcPr>
          <w:p w14:paraId="13BD914B"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6A7BB699"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2718E8F2"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695CACBF" w14:textId="77777777" w:rsidTr="00DF78AB">
        <w:trPr>
          <w:trHeight w:hRule="exact" w:val="360"/>
        </w:trPr>
        <w:tc>
          <w:tcPr>
            <w:tcW w:w="1470"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7042DB87"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More remote villages</w:t>
            </w:r>
          </w:p>
        </w:tc>
        <w:tc>
          <w:tcPr>
            <w:tcW w:w="2265" w:type="dxa"/>
            <w:tcBorders>
              <w:top w:val="single" w:sz="4" w:space="0" w:color="auto"/>
              <w:left w:val="nil"/>
              <w:bottom w:val="single" w:sz="4" w:space="0" w:color="auto"/>
              <w:right w:val="single" w:sz="4" w:space="0" w:color="auto"/>
            </w:tcBorders>
            <w:shd w:val="clear" w:color="000000" w:fill="auto"/>
            <w:noWrap/>
            <w:vAlign w:val="center"/>
            <w:hideMark/>
          </w:tcPr>
          <w:p w14:paraId="4FECD03E" w14:textId="77777777"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Me la zi Kone</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14:paraId="4AFDB137"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01846AE5"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5005737C"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7C2C40E6"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48C2AF97"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6FD70D64"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CCCCCC"/>
            <w:noWrap/>
            <w:vAlign w:val="center"/>
            <w:hideMark/>
          </w:tcPr>
          <w:p w14:paraId="2829B7DB"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637F1038"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000000" w:fill="auto"/>
            <w:noWrap/>
            <w:vAlign w:val="center"/>
            <w:hideMark/>
          </w:tcPr>
          <w:p w14:paraId="1C9E0F02"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76B29152"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3B7DEF93"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4A5BF98D" w14:textId="77777777" w:rsidTr="00DF78AB">
        <w:trPr>
          <w:trHeight w:hRule="exact" w:val="360"/>
        </w:trPr>
        <w:tc>
          <w:tcPr>
            <w:tcW w:w="1470"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235C0D21"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More remote villages</w:t>
            </w:r>
          </w:p>
        </w:tc>
        <w:tc>
          <w:tcPr>
            <w:tcW w:w="2265" w:type="dxa"/>
            <w:tcBorders>
              <w:top w:val="single" w:sz="4" w:space="0" w:color="auto"/>
              <w:left w:val="nil"/>
              <w:bottom w:val="single" w:sz="4" w:space="0" w:color="auto"/>
              <w:right w:val="single" w:sz="4" w:space="0" w:color="auto"/>
            </w:tcBorders>
            <w:shd w:val="clear" w:color="000000" w:fill="auto"/>
            <w:noWrap/>
            <w:vAlign w:val="center"/>
            <w:hideMark/>
          </w:tcPr>
          <w:p w14:paraId="1D707A7D" w14:textId="77777777"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Nga/ Pun Ywar Gyi</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14:paraId="7F17DC88"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5</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5174466A"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74BE37D5"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4070D2BA"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4350F639"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1402BB95"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CCCCCC"/>
            <w:noWrap/>
            <w:vAlign w:val="center"/>
            <w:hideMark/>
          </w:tcPr>
          <w:p w14:paraId="47E2F28F"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688030F6"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000000" w:fill="auto"/>
            <w:noWrap/>
            <w:vAlign w:val="center"/>
            <w:hideMark/>
          </w:tcPr>
          <w:p w14:paraId="18E3457B"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5</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61ED39AD"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64CA9250"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49BE091B" w14:textId="77777777" w:rsidTr="00EA2081">
        <w:trPr>
          <w:trHeight w:hRule="exact" w:val="360"/>
        </w:trPr>
        <w:tc>
          <w:tcPr>
            <w:tcW w:w="1470"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4581850B"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More remote villages</w:t>
            </w:r>
          </w:p>
        </w:tc>
        <w:tc>
          <w:tcPr>
            <w:tcW w:w="2265" w:type="dxa"/>
            <w:tcBorders>
              <w:top w:val="single" w:sz="4" w:space="0" w:color="auto"/>
              <w:left w:val="nil"/>
              <w:bottom w:val="single" w:sz="4" w:space="0" w:color="auto"/>
              <w:right w:val="single" w:sz="4" w:space="0" w:color="auto"/>
            </w:tcBorders>
            <w:shd w:val="clear" w:color="000000" w:fill="auto"/>
            <w:noWrap/>
            <w:vAlign w:val="center"/>
            <w:hideMark/>
          </w:tcPr>
          <w:p w14:paraId="14D9C347" w14:textId="028A0B39" w:rsidR="006E7C3F" w:rsidRPr="006E7C3F" w:rsidRDefault="006E7C3F" w:rsidP="006E7C3F">
            <w:pPr>
              <w:jc w:val="right"/>
              <w:rPr>
                <w:rFonts w:ascii="Arial Narrow" w:eastAsia="Times New Roman" w:hAnsi="Arial Narrow" w:cs="Arial"/>
                <w:sz w:val="18"/>
                <w:szCs w:val="18"/>
              </w:rPr>
            </w:pPr>
            <w:r>
              <w:rPr>
                <w:rFonts w:ascii="Arial Narrow" w:eastAsia="Times New Roman" w:hAnsi="Arial Narrow" w:cs="Arial"/>
                <w:sz w:val="18"/>
                <w:szCs w:val="18"/>
              </w:rPr>
              <w:t>Nga/ Pun Ywar Cha</w:t>
            </w:r>
            <w:r w:rsidRPr="006E7C3F">
              <w:rPr>
                <w:rFonts w:ascii="Arial Narrow" w:eastAsia="Times New Roman" w:hAnsi="Arial Narrow" w:cs="Arial"/>
                <w:sz w:val="18"/>
                <w:szCs w:val="18"/>
              </w:rPr>
              <w:t>y</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14:paraId="01252AD3"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09E8A4B1"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3D02CB15"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2F35AD20"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393F612B"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4F7F7F78"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CCCCCC"/>
            <w:noWrap/>
            <w:vAlign w:val="center"/>
            <w:hideMark/>
          </w:tcPr>
          <w:p w14:paraId="6949F80E"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55BE2CA4"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000000" w:fill="auto"/>
            <w:noWrap/>
            <w:vAlign w:val="center"/>
            <w:hideMark/>
          </w:tcPr>
          <w:p w14:paraId="7BC37D92"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15B53CC2"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64E8958C"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4E0E5C61" w14:textId="77777777" w:rsidTr="00EA2081">
        <w:trPr>
          <w:trHeight w:hRule="exact" w:val="360"/>
        </w:trPr>
        <w:tc>
          <w:tcPr>
            <w:tcW w:w="1470"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1A702435"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More remote villages</w:t>
            </w:r>
          </w:p>
        </w:tc>
        <w:tc>
          <w:tcPr>
            <w:tcW w:w="2265" w:type="dxa"/>
            <w:tcBorders>
              <w:top w:val="single" w:sz="4" w:space="0" w:color="auto"/>
              <w:left w:val="nil"/>
              <w:bottom w:val="single" w:sz="4" w:space="0" w:color="auto"/>
              <w:right w:val="single" w:sz="4" w:space="0" w:color="auto"/>
            </w:tcBorders>
            <w:shd w:val="clear" w:color="auto" w:fill="CCFFCC"/>
            <w:noWrap/>
            <w:vAlign w:val="center"/>
            <w:hideMark/>
          </w:tcPr>
          <w:p w14:paraId="5B29BF19" w14:textId="77777777"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Aung Daing (Rakhine)</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14:paraId="6B95049C"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7</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4EDECF67"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54C790A3"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07049E7A"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574058F4"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5AA1700A"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CCCCCC"/>
            <w:noWrap/>
            <w:vAlign w:val="center"/>
            <w:hideMark/>
          </w:tcPr>
          <w:p w14:paraId="7E5422F2"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7CCD8CA8"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CCFFCC"/>
            <w:noWrap/>
            <w:vAlign w:val="center"/>
            <w:hideMark/>
          </w:tcPr>
          <w:p w14:paraId="7499F4DA"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7</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515337B8"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008D76AC"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15E1AA50" w14:textId="77777777" w:rsidTr="00EA2081">
        <w:trPr>
          <w:trHeight w:hRule="exact" w:val="360"/>
        </w:trPr>
        <w:tc>
          <w:tcPr>
            <w:tcW w:w="1470"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17FAE26A"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More remote villages</w:t>
            </w:r>
          </w:p>
        </w:tc>
        <w:tc>
          <w:tcPr>
            <w:tcW w:w="2265" w:type="dxa"/>
            <w:tcBorders>
              <w:top w:val="single" w:sz="4" w:space="0" w:color="auto"/>
              <w:left w:val="nil"/>
              <w:bottom w:val="single" w:sz="4" w:space="0" w:color="auto"/>
              <w:right w:val="single" w:sz="4" w:space="0" w:color="auto"/>
            </w:tcBorders>
            <w:shd w:val="clear" w:color="auto" w:fill="CCFFCC"/>
            <w:noWrap/>
            <w:vAlign w:val="center"/>
            <w:hideMark/>
          </w:tcPr>
          <w:p w14:paraId="0ECCAE0A" w14:textId="77777777"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Thin Pone Tan (Rakhine)</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14:paraId="5D3D6B94"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5</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18550494"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109D6641"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01687FD8"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20FD25BC"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2A9D73D8"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CCCCCC"/>
            <w:noWrap/>
            <w:vAlign w:val="center"/>
            <w:hideMark/>
          </w:tcPr>
          <w:p w14:paraId="7571DC93"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CCFFCC"/>
            <w:noWrap/>
            <w:vAlign w:val="center"/>
            <w:hideMark/>
          </w:tcPr>
          <w:p w14:paraId="2C27F751"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5</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14479CB2"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1A5309F8"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7EB2367F"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26213C0E" w14:textId="77777777" w:rsidTr="00EA2081">
        <w:trPr>
          <w:trHeight w:hRule="exact" w:val="360"/>
        </w:trPr>
        <w:tc>
          <w:tcPr>
            <w:tcW w:w="1470"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0D4F826D" w14:textId="77777777" w:rsidR="006E7C3F" w:rsidRPr="006E7C3F" w:rsidRDefault="006E7C3F" w:rsidP="00DF78AB">
            <w:pPr>
              <w:rPr>
                <w:rFonts w:ascii="Arial Narrow" w:eastAsia="Times New Roman" w:hAnsi="Arial Narrow" w:cs="Arial"/>
                <w:sz w:val="18"/>
                <w:szCs w:val="18"/>
              </w:rPr>
            </w:pPr>
            <w:r w:rsidRPr="006E7C3F">
              <w:rPr>
                <w:rFonts w:ascii="Arial Narrow" w:eastAsia="Times New Roman" w:hAnsi="Arial Narrow" w:cs="Arial"/>
                <w:sz w:val="18"/>
                <w:szCs w:val="18"/>
              </w:rPr>
              <w:t>More remote villages</w:t>
            </w:r>
          </w:p>
        </w:tc>
        <w:tc>
          <w:tcPr>
            <w:tcW w:w="2265" w:type="dxa"/>
            <w:tcBorders>
              <w:top w:val="single" w:sz="4" w:space="0" w:color="auto"/>
              <w:left w:val="nil"/>
              <w:bottom w:val="single" w:sz="4" w:space="0" w:color="auto"/>
              <w:right w:val="single" w:sz="4" w:space="0" w:color="auto"/>
            </w:tcBorders>
            <w:shd w:val="clear" w:color="auto" w:fill="CCFFCC"/>
            <w:noWrap/>
            <w:vAlign w:val="center"/>
            <w:hideMark/>
          </w:tcPr>
          <w:p w14:paraId="3E4B4E63" w14:textId="77777777"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Zaw Pu Gyar (Rakhine)</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14:paraId="6A0B0E0B"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2</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4526B348"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78B8B196"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6081BEED"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6C86789D" w14:textId="77777777" w:rsidR="006E7C3F" w:rsidRPr="006E7C3F" w:rsidRDefault="006E7C3F" w:rsidP="006E7C3F">
            <w:pPr>
              <w:jc w:val="center"/>
              <w:rPr>
                <w:rFonts w:ascii="Arial Narrow" w:eastAsia="Times New Roman" w:hAnsi="Arial Narrow" w:cs="Arial"/>
                <w:color w:val="FFFFFF"/>
                <w:sz w:val="18"/>
                <w:szCs w:val="18"/>
              </w:rPr>
            </w:pPr>
            <w:r w:rsidRPr="006E7C3F">
              <w:rPr>
                <w:rFonts w:ascii="Arial Narrow" w:eastAsia="Times New Roman" w:hAnsi="Arial Narrow" w:cs="Arial"/>
                <w:color w:val="FFFFFF"/>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7DCE1C29"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CCCCCC"/>
            <w:noWrap/>
            <w:vAlign w:val="center"/>
            <w:hideMark/>
          </w:tcPr>
          <w:p w14:paraId="671B5E48"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1FFCE712"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44395B21"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single" w:sz="4" w:space="0" w:color="auto"/>
              <w:left w:val="nil"/>
              <w:bottom w:val="single" w:sz="4" w:space="0" w:color="auto"/>
              <w:right w:val="single" w:sz="4" w:space="0" w:color="auto"/>
            </w:tcBorders>
            <w:shd w:val="clear" w:color="auto" w:fill="CCFFCC"/>
            <w:noWrap/>
            <w:vAlign w:val="center"/>
            <w:hideMark/>
          </w:tcPr>
          <w:p w14:paraId="6769E6AA"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2</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64C2F441" w14:textId="77777777" w:rsidR="006E7C3F" w:rsidRPr="006E7C3F" w:rsidRDefault="006E7C3F" w:rsidP="006E7C3F">
            <w:pPr>
              <w:rPr>
                <w:rFonts w:ascii="Arial Narrow" w:eastAsia="Times New Roman" w:hAnsi="Arial Narrow" w:cs="Arial"/>
                <w:sz w:val="18"/>
                <w:szCs w:val="18"/>
              </w:rPr>
            </w:pPr>
            <w:r w:rsidRPr="006E7C3F">
              <w:rPr>
                <w:rFonts w:ascii="Arial Narrow" w:eastAsia="Times New Roman" w:hAnsi="Arial Narrow" w:cs="Arial"/>
                <w:sz w:val="18"/>
                <w:szCs w:val="18"/>
              </w:rPr>
              <w:t> </w:t>
            </w:r>
          </w:p>
        </w:tc>
      </w:tr>
      <w:tr w:rsidR="006E7C3F" w:rsidRPr="006E7C3F" w14:paraId="7A1D0E49" w14:textId="77777777" w:rsidTr="006E7C3F">
        <w:trPr>
          <w:trHeight w:val="440"/>
        </w:trPr>
        <w:tc>
          <w:tcPr>
            <w:tcW w:w="1470" w:type="dxa"/>
            <w:tcBorders>
              <w:top w:val="nil"/>
              <w:left w:val="nil"/>
              <w:bottom w:val="nil"/>
              <w:right w:val="nil"/>
            </w:tcBorders>
            <w:shd w:val="clear" w:color="auto" w:fill="auto"/>
            <w:vAlign w:val="center"/>
            <w:hideMark/>
          </w:tcPr>
          <w:p w14:paraId="6409A1C7" w14:textId="77777777" w:rsidR="006E7C3F" w:rsidRPr="006E7C3F" w:rsidRDefault="006E7C3F" w:rsidP="00DF78AB">
            <w:pPr>
              <w:rPr>
                <w:rFonts w:ascii="Arial Narrow" w:eastAsia="Times New Roman" w:hAnsi="Arial Narrow" w:cs="Arial"/>
                <w:sz w:val="18"/>
                <w:szCs w:val="18"/>
              </w:rPr>
            </w:pPr>
          </w:p>
        </w:tc>
        <w:tc>
          <w:tcPr>
            <w:tcW w:w="2265" w:type="dxa"/>
            <w:tcBorders>
              <w:top w:val="nil"/>
              <w:left w:val="nil"/>
              <w:bottom w:val="nil"/>
              <w:right w:val="nil"/>
            </w:tcBorders>
            <w:shd w:val="clear" w:color="auto" w:fill="auto"/>
            <w:noWrap/>
            <w:vAlign w:val="center"/>
            <w:hideMark/>
          </w:tcPr>
          <w:p w14:paraId="60902E13" w14:textId="77777777" w:rsidR="006E7C3F" w:rsidRPr="006E7C3F" w:rsidRDefault="006E7C3F" w:rsidP="006E7C3F">
            <w:pPr>
              <w:jc w:val="right"/>
              <w:rPr>
                <w:rFonts w:ascii="Arial Narrow" w:eastAsia="Times New Roman" w:hAnsi="Arial Narrow" w:cs="Arial"/>
                <w:sz w:val="18"/>
                <w:szCs w:val="18"/>
              </w:rPr>
            </w:pPr>
          </w:p>
        </w:tc>
        <w:tc>
          <w:tcPr>
            <w:tcW w:w="895" w:type="dxa"/>
            <w:tcBorders>
              <w:top w:val="nil"/>
              <w:left w:val="nil"/>
              <w:bottom w:val="nil"/>
              <w:right w:val="nil"/>
            </w:tcBorders>
            <w:shd w:val="clear" w:color="auto" w:fill="auto"/>
            <w:noWrap/>
            <w:vAlign w:val="center"/>
            <w:hideMark/>
          </w:tcPr>
          <w:p w14:paraId="1644867E"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31</w:t>
            </w:r>
          </w:p>
        </w:tc>
        <w:tc>
          <w:tcPr>
            <w:tcW w:w="450" w:type="dxa"/>
            <w:tcBorders>
              <w:top w:val="nil"/>
              <w:left w:val="nil"/>
              <w:bottom w:val="nil"/>
              <w:right w:val="nil"/>
            </w:tcBorders>
            <w:shd w:val="clear" w:color="auto" w:fill="auto"/>
            <w:noWrap/>
            <w:vAlign w:val="center"/>
            <w:hideMark/>
          </w:tcPr>
          <w:p w14:paraId="5DE83F5A"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nil"/>
            </w:tcBorders>
            <w:shd w:val="clear" w:color="auto" w:fill="auto"/>
            <w:noWrap/>
            <w:vAlign w:val="center"/>
            <w:hideMark/>
          </w:tcPr>
          <w:p w14:paraId="31D346A6"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nil"/>
            </w:tcBorders>
            <w:shd w:val="clear" w:color="auto" w:fill="auto"/>
            <w:noWrap/>
            <w:vAlign w:val="center"/>
            <w:hideMark/>
          </w:tcPr>
          <w:p w14:paraId="114A17D0"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nil"/>
            </w:tcBorders>
            <w:shd w:val="clear" w:color="auto" w:fill="auto"/>
            <w:noWrap/>
            <w:vAlign w:val="center"/>
            <w:hideMark/>
          </w:tcPr>
          <w:p w14:paraId="6280414E"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nil"/>
            </w:tcBorders>
            <w:shd w:val="clear" w:color="auto" w:fill="auto"/>
            <w:noWrap/>
            <w:vAlign w:val="center"/>
            <w:hideMark/>
          </w:tcPr>
          <w:p w14:paraId="6D5636C2"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nil"/>
            </w:tcBorders>
            <w:shd w:val="clear" w:color="auto" w:fill="auto"/>
            <w:noWrap/>
            <w:vAlign w:val="center"/>
            <w:hideMark/>
          </w:tcPr>
          <w:p w14:paraId="1F7FA01F"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 </w:t>
            </w:r>
          </w:p>
        </w:tc>
        <w:tc>
          <w:tcPr>
            <w:tcW w:w="450" w:type="dxa"/>
            <w:tcBorders>
              <w:top w:val="nil"/>
              <w:left w:val="nil"/>
              <w:bottom w:val="nil"/>
              <w:right w:val="nil"/>
            </w:tcBorders>
            <w:shd w:val="clear" w:color="auto" w:fill="auto"/>
            <w:noWrap/>
            <w:vAlign w:val="center"/>
            <w:hideMark/>
          </w:tcPr>
          <w:p w14:paraId="7E2E919C"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5</w:t>
            </w:r>
          </w:p>
        </w:tc>
        <w:tc>
          <w:tcPr>
            <w:tcW w:w="450" w:type="dxa"/>
            <w:tcBorders>
              <w:top w:val="nil"/>
              <w:left w:val="nil"/>
              <w:bottom w:val="nil"/>
              <w:right w:val="nil"/>
            </w:tcBorders>
            <w:shd w:val="clear" w:color="auto" w:fill="auto"/>
            <w:noWrap/>
            <w:vAlign w:val="center"/>
            <w:hideMark/>
          </w:tcPr>
          <w:p w14:paraId="5B951165"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24</w:t>
            </w:r>
          </w:p>
        </w:tc>
        <w:tc>
          <w:tcPr>
            <w:tcW w:w="450" w:type="dxa"/>
            <w:tcBorders>
              <w:top w:val="nil"/>
              <w:left w:val="nil"/>
              <w:bottom w:val="nil"/>
              <w:right w:val="nil"/>
            </w:tcBorders>
            <w:shd w:val="clear" w:color="auto" w:fill="auto"/>
            <w:noWrap/>
            <w:vAlign w:val="center"/>
            <w:hideMark/>
          </w:tcPr>
          <w:p w14:paraId="00C9361F"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2</w:t>
            </w:r>
          </w:p>
        </w:tc>
        <w:tc>
          <w:tcPr>
            <w:tcW w:w="450" w:type="dxa"/>
            <w:tcBorders>
              <w:top w:val="nil"/>
              <w:left w:val="nil"/>
              <w:bottom w:val="nil"/>
              <w:right w:val="nil"/>
            </w:tcBorders>
            <w:shd w:val="clear" w:color="auto" w:fill="auto"/>
            <w:noWrap/>
            <w:vAlign w:val="center"/>
            <w:hideMark/>
          </w:tcPr>
          <w:p w14:paraId="422E025A"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 </w:t>
            </w:r>
          </w:p>
        </w:tc>
      </w:tr>
      <w:tr w:rsidR="006E7C3F" w:rsidRPr="006E7C3F" w14:paraId="1E032F6F" w14:textId="77777777" w:rsidTr="00DF78AB">
        <w:trPr>
          <w:trHeight w:val="144"/>
        </w:trPr>
        <w:tc>
          <w:tcPr>
            <w:tcW w:w="1470" w:type="dxa"/>
            <w:tcBorders>
              <w:top w:val="nil"/>
              <w:left w:val="nil"/>
              <w:bottom w:val="nil"/>
              <w:right w:val="nil"/>
            </w:tcBorders>
            <w:shd w:val="clear" w:color="auto" w:fill="auto"/>
            <w:vAlign w:val="center"/>
            <w:hideMark/>
          </w:tcPr>
          <w:p w14:paraId="5ED50E97" w14:textId="77777777" w:rsidR="006E7C3F" w:rsidRPr="006E7C3F" w:rsidRDefault="006E7C3F" w:rsidP="00DF78AB">
            <w:pPr>
              <w:rPr>
                <w:rFonts w:ascii="Arial Narrow" w:eastAsia="Times New Roman" w:hAnsi="Arial Narrow" w:cs="Arial"/>
                <w:sz w:val="18"/>
                <w:szCs w:val="18"/>
              </w:rPr>
            </w:pPr>
          </w:p>
        </w:tc>
        <w:tc>
          <w:tcPr>
            <w:tcW w:w="2265" w:type="dxa"/>
            <w:tcBorders>
              <w:top w:val="nil"/>
              <w:left w:val="nil"/>
              <w:bottom w:val="nil"/>
              <w:right w:val="nil"/>
            </w:tcBorders>
            <w:shd w:val="clear" w:color="auto" w:fill="auto"/>
            <w:noWrap/>
            <w:vAlign w:val="center"/>
            <w:hideMark/>
          </w:tcPr>
          <w:p w14:paraId="2E9D9D82" w14:textId="77777777" w:rsidR="006E7C3F" w:rsidRPr="006E7C3F" w:rsidRDefault="006E7C3F" w:rsidP="006E7C3F">
            <w:pPr>
              <w:rPr>
                <w:rFonts w:ascii="Arial Narrow" w:eastAsia="Times New Roman" w:hAnsi="Arial Narrow" w:cs="Arial"/>
                <w:sz w:val="18"/>
                <w:szCs w:val="18"/>
              </w:rPr>
            </w:pPr>
          </w:p>
        </w:tc>
        <w:tc>
          <w:tcPr>
            <w:tcW w:w="895" w:type="dxa"/>
            <w:tcBorders>
              <w:top w:val="nil"/>
              <w:left w:val="nil"/>
              <w:bottom w:val="single" w:sz="4" w:space="0" w:color="auto"/>
              <w:right w:val="nil"/>
            </w:tcBorders>
            <w:shd w:val="clear" w:color="auto" w:fill="auto"/>
            <w:noWrap/>
            <w:vAlign w:val="center"/>
            <w:hideMark/>
          </w:tcPr>
          <w:p w14:paraId="6FB05838" w14:textId="77777777" w:rsidR="006E7C3F" w:rsidRPr="006E7C3F" w:rsidRDefault="006E7C3F" w:rsidP="006E7C3F">
            <w:pPr>
              <w:jc w:val="center"/>
              <w:rPr>
                <w:rFonts w:ascii="Arial Narrow" w:eastAsia="Times New Roman" w:hAnsi="Arial Narrow" w:cs="Arial"/>
                <w:sz w:val="18"/>
                <w:szCs w:val="18"/>
              </w:rPr>
            </w:pPr>
          </w:p>
        </w:tc>
        <w:tc>
          <w:tcPr>
            <w:tcW w:w="450" w:type="dxa"/>
            <w:tcBorders>
              <w:top w:val="nil"/>
              <w:left w:val="nil"/>
              <w:bottom w:val="nil"/>
              <w:right w:val="nil"/>
            </w:tcBorders>
            <w:shd w:val="clear" w:color="auto" w:fill="auto"/>
            <w:noWrap/>
            <w:vAlign w:val="center"/>
            <w:hideMark/>
          </w:tcPr>
          <w:p w14:paraId="5B354DEF"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nil"/>
              <w:right w:val="nil"/>
            </w:tcBorders>
            <w:shd w:val="clear" w:color="auto" w:fill="auto"/>
            <w:noWrap/>
            <w:vAlign w:val="center"/>
            <w:hideMark/>
          </w:tcPr>
          <w:p w14:paraId="26FBB1C0"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nil"/>
              <w:right w:val="nil"/>
            </w:tcBorders>
            <w:shd w:val="clear" w:color="auto" w:fill="auto"/>
            <w:noWrap/>
            <w:vAlign w:val="center"/>
            <w:hideMark/>
          </w:tcPr>
          <w:p w14:paraId="20DEEA1E"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nil"/>
              <w:right w:val="nil"/>
            </w:tcBorders>
            <w:shd w:val="clear" w:color="auto" w:fill="auto"/>
            <w:noWrap/>
            <w:vAlign w:val="center"/>
            <w:hideMark/>
          </w:tcPr>
          <w:p w14:paraId="22C852CC"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nil"/>
              <w:right w:val="nil"/>
            </w:tcBorders>
            <w:shd w:val="clear" w:color="auto" w:fill="auto"/>
            <w:noWrap/>
            <w:vAlign w:val="center"/>
            <w:hideMark/>
          </w:tcPr>
          <w:p w14:paraId="7A1D240A"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single" w:sz="4" w:space="0" w:color="auto"/>
              <w:right w:val="nil"/>
            </w:tcBorders>
            <w:shd w:val="clear" w:color="auto" w:fill="auto"/>
            <w:noWrap/>
            <w:vAlign w:val="center"/>
            <w:hideMark/>
          </w:tcPr>
          <w:p w14:paraId="4AFC7BDC"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nil"/>
              <w:right w:val="nil"/>
            </w:tcBorders>
            <w:shd w:val="clear" w:color="auto" w:fill="auto"/>
            <w:noWrap/>
            <w:vAlign w:val="center"/>
            <w:hideMark/>
          </w:tcPr>
          <w:p w14:paraId="532873DF"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nil"/>
              <w:right w:val="nil"/>
            </w:tcBorders>
            <w:shd w:val="clear" w:color="auto" w:fill="auto"/>
            <w:noWrap/>
            <w:vAlign w:val="center"/>
            <w:hideMark/>
          </w:tcPr>
          <w:p w14:paraId="51F220C1"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nil"/>
              <w:right w:val="nil"/>
            </w:tcBorders>
            <w:shd w:val="clear" w:color="auto" w:fill="auto"/>
            <w:noWrap/>
            <w:vAlign w:val="center"/>
            <w:hideMark/>
          </w:tcPr>
          <w:p w14:paraId="50DF77C9"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nil"/>
              <w:right w:val="nil"/>
            </w:tcBorders>
            <w:shd w:val="clear" w:color="auto" w:fill="auto"/>
            <w:noWrap/>
            <w:vAlign w:val="center"/>
            <w:hideMark/>
          </w:tcPr>
          <w:p w14:paraId="28033489" w14:textId="77777777" w:rsidR="006E7C3F" w:rsidRPr="006E7C3F" w:rsidRDefault="006E7C3F" w:rsidP="006E7C3F">
            <w:pPr>
              <w:rPr>
                <w:rFonts w:ascii="Arial Narrow" w:eastAsia="Times New Roman" w:hAnsi="Arial Narrow" w:cs="Arial"/>
                <w:sz w:val="18"/>
                <w:szCs w:val="18"/>
              </w:rPr>
            </w:pPr>
          </w:p>
        </w:tc>
      </w:tr>
      <w:tr w:rsidR="006E7C3F" w:rsidRPr="006E7C3F" w14:paraId="39094726" w14:textId="77777777" w:rsidTr="00DF78AB">
        <w:trPr>
          <w:trHeight w:val="323"/>
        </w:trPr>
        <w:tc>
          <w:tcPr>
            <w:tcW w:w="1470" w:type="dxa"/>
            <w:tcBorders>
              <w:top w:val="nil"/>
              <w:left w:val="nil"/>
              <w:bottom w:val="nil"/>
              <w:right w:val="nil"/>
            </w:tcBorders>
            <w:shd w:val="clear" w:color="auto" w:fill="auto"/>
            <w:vAlign w:val="center"/>
            <w:hideMark/>
          </w:tcPr>
          <w:p w14:paraId="7B3F699F" w14:textId="77777777" w:rsidR="006E7C3F" w:rsidRPr="006E7C3F" w:rsidRDefault="006E7C3F" w:rsidP="00DF78AB">
            <w:pPr>
              <w:rPr>
                <w:rFonts w:ascii="Arial Narrow" w:eastAsia="Times New Roman" w:hAnsi="Arial Narrow" w:cs="Arial"/>
                <w:sz w:val="18"/>
                <w:szCs w:val="18"/>
              </w:rPr>
            </w:pPr>
          </w:p>
        </w:tc>
        <w:tc>
          <w:tcPr>
            <w:tcW w:w="2265" w:type="dxa"/>
            <w:tcBorders>
              <w:top w:val="nil"/>
              <w:left w:val="nil"/>
              <w:bottom w:val="nil"/>
              <w:right w:val="nil"/>
            </w:tcBorders>
            <w:shd w:val="clear" w:color="auto" w:fill="auto"/>
            <w:noWrap/>
            <w:vAlign w:val="center"/>
            <w:hideMark/>
          </w:tcPr>
          <w:p w14:paraId="4AC3F0B9" w14:textId="77777777" w:rsidR="006E7C3F" w:rsidRPr="006E7C3F" w:rsidRDefault="006E7C3F" w:rsidP="006E7C3F">
            <w:pPr>
              <w:jc w:val="right"/>
              <w:rPr>
                <w:rFonts w:ascii="Arial Narrow" w:eastAsia="Times New Roman" w:hAnsi="Arial Narrow" w:cs="Arial"/>
                <w:b/>
                <w:bCs/>
                <w:sz w:val="18"/>
                <w:szCs w:val="18"/>
              </w:rPr>
            </w:pPr>
            <w:r w:rsidRPr="006E7C3F">
              <w:rPr>
                <w:rFonts w:ascii="Arial Narrow" w:eastAsia="Times New Roman" w:hAnsi="Arial Narrow" w:cs="Arial"/>
                <w:b/>
                <w:bCs/>
                <w:sz w:val="18"/>
                <w:szCs w:val="18"/>
              </w:rPr>
              <w:t>TOTAL Number of Surveys</w:t>
            </w:r>
          </w:p>
        </w:tc>
        <w:tc>
          <w:tcPr>
            <w:tcW w:w="895"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9F6BBB4"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428</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698BC1B4"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34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31930403"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55</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700DB6F6"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55</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5930ED55"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7</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450DBA5C"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53</w:t>
            </w:r>
          </w:p>
        </w:tc>
        <w:tc>
          <w:tcPr>
            <w:tcW w:w="450" w:type="dxa"/>
            <w:tcBorders>
              <w:top w:val="single" w:sz="4" w:space="0" w:color="auto"/>
              <w:left w:val="nil"/>
              <w:bottom w:val="single" w:sz="4" w:space="0" w:color="auto"/>
              <w:right w:val="single" w:sz="4" w:space="0" w:color="auto"/>
            </w:tcBorders>
            <w:shd w:val="clear" w:color="auto" w:fill="CCCCCC"/>
            <w:noWrap/>
            <w:vAlign w:val="center"/>
            <w:hideMark/>
          </w:tcPr>
          <w:p w14:paraId="3AB32527"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05A518D2"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54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29B5E6FD"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60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426B4250"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58</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27DBDF11" w14:textId="77777777" w:rsidR="006E7C3F" w:rsidRPr="006E7C3F" w:rsidRDefault="006E7C3F" w:rsidP="006E7C3F">
            <w:pPr>
              <w:jc w:val="center"/>
              <w:rPr>
                <w:rFonts w:ascii="Arial Narrow" w:eastAsia="Times New Roman" w:hAnsi="Arial Narrow" w:cs="Arial"/>
                <w:b/>
                <w:bCs/>
                <w:sz w:val="18"/>
                <w:szCs w:val="18"/>
              </w:rPr>
            </w:pPr>
            <w:r w:rsidRPr="006E7C3F">
              <w:rPr>
                <w:rFonts w:ascii="Arial Narrow" w:eastAsia="Times New Roman" w:hAnsi="Arial Narrow" w:cs="Arial"/>
                <w:b/>
                <w:bCs/>
                <w:sz w:val="18"/>
                <w:szCs w:val="18"/>
              </w:rPr>
              <w:t>52</w:t>
            </w:r>
          </w:p>
        </w:tc>
      </w:tr>
      <w:tr w:rsidR="006E7C3F" w:rsidRPr="006E7C3F" w14:paraId="764600A0" w14:textId="77777777" w:rsidTr="006E7C3F">
        <w:trPr>
          <w:trHeight w:val="260"/>
        </w:trPr>
        <w:tc>
          <w:tcPr>
            <w:tcW w:w="1470" w:type="dxa"/>
            <w:tcBorders>
              <w:top w:val="nil"/>
              <w:left w:val="nil"/>
              <w:bottom w:val="nil"/>
              <w:right w:val="nil"/>
            </w:tcBorders>
            <w:shd w:val="clear" w:color="auto" w:fill="auto"/>
            <w:vAlign w:val="center"/>
            <w:hideMark/>
          </w:tcPr>
          <w:p w14:paraId="33FB4A95" w14:textId="77777777" w:rsidR="006E7C3F" w:rsidRPr="006E7C3F" w:rsidRDefault="006E7C3F" w:rsidP="00DF78AB">
            <w:pPr>
              <w:rPr>
                <w:rFonts w:ascii="Arial Narrow" w:eastAsia="Times New Roman" w:hAnsi="Arial Narrow" w:cs="Arial"/>
                <w:sz w:val="18"/>
                <w:szCs w:val="18"/>
              </w:rPr>
            </w:pPr>
          </w:p>
        </w:tc>
        <w:tc>
          <w:tcPr>
            <w:tcW w:w="2265" w:type="dxa"/>
            <w:tcBorders>
              <w:top w:val="nil"/>
              <w:left w:val="nil"/>
              <w:bottom w:val="nil"/>
              <w:right w:val="nil"/>
            </w:tcBorders>
            <w:shd w:val="clear" w:color="auto" w:fill="auto"/>
            <w:noWrap/>
            <w:vAlign w:val="center"/>
            <w:hideMark/>
          </w:tcPr>
          <w:p w14:paraId="4A68FE6F" w14:textId="77777777" w:rsidR="006E7C3F" w:rsidRPr="006E7C3F" w:rsidRDefault="006E7C3F" w:rsidP="006E7C3F">
            <w:pPr>
              <w:jc w:val="right"/>
              <w:rPr>
                <w:rFonts w:ascii="Arial Narrow" w:eastAsia="Times New Roman" w:hAnsi="Arial Narrow" w:cs="Arial"/>
                <w:b/>
                <w:bCs/>
                <w:sz w:val="18"/>
                <w:szCs w:val="18"/>
              </w:rPr>
            </w:pPr>
          </w:p>
        </w:tc>
        <w:tc>
          <w:tcPr>
            <w:tcW w:w="895" w:type="dxa"/>
            <w:tcBorders>
              <w:top w:val="nil"/>
              <w:left w:val="nil"/>
              <w:bottom w:val="nil"/>
              <w:right w:val="nil"/>
            </w:tcBorders>
            <w:shd w:val="clear" w:color="auto" w:fill="auto"/>
            <w:noWrap/>
            <w:vAlign w:val="center"/>
            <w:hideMark/>
          </w:tcPr>
          <w:p w14:paraId="38F5CD07" w14:textId="77777777" w:rsidR="006E7C3F" w:rsidRPr="006E7C3F" w:rsidRDefault="006E7C3F" w:rsidP="006E7C3F">
            <w:pPr>
              <w:jc w:val="center"/>
              <w:rPr>
                <w:rFonts w:ascii="Arial Narrow" w:eastAsia="Times New Roman" w:hAnsi="Arial Narrow" w:cs="Arial"/>
                <w:sz w:val="18"/>
                <w:szCs w:val="18"/>
              </w:rPr>
            </w:pPr>
          </w:p>
        </w:tc>
        <w:tc>
          <w:tcPr>
            <w:tcW w:w="450" w:type="dxa"/>
            <w:tcBorders>
              <w:top w:val="nil"/>
              <w:left w:val="nil"/>
              <w:bottom w:val="nil"/>
              <w:right w:val="nil"/>
            </w:tcBorders>
            <w:shd w:val="clear" w:color="auto" w:fill="auto"/>
            <w:noWrap/>
            <w:vAlign w:val="center"/>
            <w:hideMark/>
          </w:tcPr>
          <w:p w14:paraId="48C7642D"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nil"/>
              <w:right w:val="nil"/>
            </w:tcBorders>
            <w:shd w:val="clear" w:color="auto" w:fill="auto"/>
            <w:noWrap/>
            <w:vAlign w:val="center"/>
            <w:hideMark/>
          </w:tcPr>
          <w:p w14:paraId="245AFC00"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nil"/>
              <w:right w:val="nil"/>
            </w:tcBorders>
            <w:shd w:val="clear" w:color="auto" w:fill="auto"/>
            <w:noWrap/>
            <w:vAlign w:val="center"/>
            <w:hideMark/>
          </w:tcPr>
          <w:p w14:paraId="518243D2"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nil"/>
              <w:right w:val="nil"/>
            </w:tcBorders>
            <w:shd w:val="clear" w:color="auto" w:fill="auto"/>
            <w:noWrap/>
            <w:vAlign w:val="center"/>
            <w:hideMark/>
          </w:tcPr>
          <w:p w14:paraId="0D70B57F"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nil"/>
              <w:right w:val="nil"/>
            </w:tcBorders>
            <w:shd w:val="clear" w:color="auto" w:fill="auto"/>
            <w:noWrap/>
            <w:vAlign w:val="center"/>
            <w:hideMark/>
          </w:tcPr>
          <w:p w14:paraId="37EF7352"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nil"/>
              <w:right w:val="nil"/>
            </w:tcBorders>
            <w:shd w:val="clear" w:color="auto" w:fill="auto"/>
            <w:noWrap/>
            <w:vAlign w:val="center"/>
            <w:hideMark/>
          </w:tcPr>
          <w:p w14:paraId="7827F4BE"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nil"/>
              <w:right w:val="nil"/>
            </w:tcBorders>
            <w:shd w:val="clear" w:color="auto" w:fill="auto"/>
            <w:noWrap/>
            <w:vAlign w:val="center"/>
            <w:hideMark/>
          </w:tcPr>
          <w:p w14:paraId="2FE502B4"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nil"/>
              <w:right w:val="nil"/>
            </w:tcBorders>
            <w:shd w:val="clear" w:color="auto" w:fill="auto"/>
            <w:noWrap/>
            <w:vAlign w:val="center"/>
            <w:hideMark/>
          </w:tcPr>
          <w:p w14:paraId="7FA57998"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nil"/>
              <w:right w:val="nil"/>
            </w:tcBorders>
            <w:shd w:val="clear" w:color="auto" w:fill="auto"/>
            <w:noWrap/>
            <w:vAlign w:val="center"/>
            <w:hideMark/>
          </w:tcPr>
          <w:p w14:paraId="0A36C3FE" w14:textId="77777777" w:rsidR="006E7C3F" w:rsidRPr="006E7C3F" w:rsidRDefault="006E7C3F" w:rsidP="006E7C3F">
            <w:pPr>
              <w:rPr>
                <w:rFonts w:ascii="Arial Narrow" w:eastAsia="Times New Roman" w:hAnsi="Arial Narrow" w:cs="Arial"/>
                <w:sz w:val="18"/>
                <w:szCs w:val="18"/>
              </w:rPr>
            </w:pPr>
          </w:p>
        </w:tc>
        <w:tc>
          <w:tcPr>
            <w:tcW w:w="450" w:type="dxa"/>
            <w:tcBorders>
              <w:top w:val="nil"/>
              <w:left w:val="nil"/>
              <w:bottom w:val="nil"/>
              <w:right w:val="nil"/>
            </w:tcBorders>
            <w:shd w:val="clear" w:color="auto" w:fill="auto"/>
            <w:noWrap/>
            <w:vAlign w:val="center"/>
            <w:hideMark/>
          </w:tcPr>
          <w:p w14:paraId="72099FD7" w14:textId="77777777" w:rsidR="006E7C3F" w:rsidRPr="006E7C3F" w:rsidRDefault="006E7C3F" w:rsidP="006E7C3F">
            <w:pPr>
              <w:rPr>
                <w:rFonts w:ascii="Arial Narrow" w:eastAsia="Times New Roman" w:hAnsi="Arial Narrow" w:cs="Arial"/>
                <w:sz w:val="18"/>
                <w:szCs w:val="18"/>
              </w:rPr>
            </w:pPr>
          </w:p>
        </w:tc>
      </w:tr>
      <w:tr w:rsidR="006E7C3F" w:rsidRPr="006E7C3F" w14:paraId="0FC1855C" w14:textId="77777777" w:rsidTr="006E7C3F">
        <w:trPr>
          <w:trHeight w:val="368"/>
        </w:trPr>
        <w:tc>
          <w:tcPr>
            <w:tcW w:w="1470" w:type="dxa"/>
            <w:tcBorders>
              <w:top w:val="nil"/>
              <w:left w:val="nil"/>
              <w:bottom w:val="nil"/>
              <w:right w:val="nil"/>
            </w:tcBorders>
            <w:shd w:val="clear" w:color="auto" w:fill="auto"/>
            <w:vAlign w:val="center"/>
            <w:hideMark/>
          </w:tcPr>
          <w:p w14:paraId="7692EE56" w14:textId="77777777" w:rsidR="006E7C3F" w:rsidRPr="006E7C3F" w:rsidRDefault="006E7C3F" w:rsidP="00DF78AB">
            <w:pPr>
              <w:rPr>
                <w:rFonts w:ascii="Arial Narrow" w:eastAsia="Times New Roman" w:hAnsi="Arial Narrow" w:cs="Arial"/>
                <w:sz w:val="18"/>
                <w:szCs w:val="18"/>
              </w:rPr>
            </w:pPr>
          </w:p>
        </w:tc>
        <w:tc>
          <w:tcPr>
            <w:tcW w:w="2265" w:type="dxa"/>
            <w:tcBorders>
              <w:top w:val="nil"/>
              <w:left w:val="nil"/>
              <w:bottom w:val="nil"/>
              <w:right w:val="nil"/>
            </w:tcBorders>
            <w:shd w:val="clear" w:color="auto" w:fill="auto"/>
            <w:noWrap/>
            <w:vAlign w:val="center"/>
            <w:hideMark/>
          </w:tcPr>
          <w:p w14:paraId="7DCE4EF3" w14:textId="1161D5ED" w:rsidR="006E7C3F" w:rsidRPr="006E7C3F" w:rsidRDefault="006E7C3F" w:rsidP="006E7C3F">
            <w:pPr>
              <w:jc w:val="right"/>
              <w:rPr>
                <w:rFonts w:ascii="Arial Narrow" w:eastAsia="Times New Roman" w:hAnsi="Arial Narrow" w:cs="Arial"/>
                <w:sz w:val="18"/>
                <w:szCs w:val="18"/>
              </w:rPr>
            </w:pPr>
            <w:r w:rsidRPr="006E7C3F">
              <w:rPr>
                <w:rFonts w:ascii="Arial Narrow" w:eastAsia="Times New Roman" w:hAnsi="Arial Narrow" w:cs="Arial"/>
                <w:sz w:val="18"/>
                <w:szCs w:val="18"/>
              </w:rPr>
              <w:t>Cumulative Number of Surveys</w:t>
            </w:r>
          </w:p>
        </w:tc>
        <w:tc>
          <w:tcPr>
            <w:tcW w:w="895" w:type="dxa"/>
            <w:tcBorders>
              <w:top w:val="nil"/>
              <w:left w:val="nil"/>
              <w:bottom w:val="nil"/>
              <w:right w:val="nil"/>
            </w:tcBorders>
            <w:shd w:val="clear" w:color="auto" w:fill="auto"/>
            <w:noWrap/>
            <w:vAlign w:val="center"/>
            <w:hideMark/>
          </w:tcPr>
          <w:p w14:paraId="6EB7CE44" w14:textId="77777777" w:rsidR="006E7C3F" w:rsidRPr="006E7C3F" w:rsidRDefault="006E7C3F" w:rsidP="006E7C3F">
            <w:pPr>
              <w:jc w:val="center"/>
              <w:rPr>
                <w:rFonts w:ascii="Arial Narrow" w:eastAsia="Times New Roman" w:hAnsi="Arial Narrow"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0E8A3"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34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32997847"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89</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44A80513"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144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7CD7761A"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151</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70DAB93B"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204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1200FAF5"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204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4AA8397B"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258</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32B21188"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318</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74574CD2"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376</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542AF9E4" w14:textId="77777777" w:rsidR="006E7C3F" w:rsidRPr="006E7C3F" w:rsidRDefault="006E7C3F" w:rsidP="006E7C3F">
            <w:pPr>
              <w:jc w:val="center"/>
              <w:rPr>
                <w:rFonts w:ascii="Arial Narrow" w:eastAsia="Times New Roman" w:hAnsi="Arial Narrow" w:cs="Arial"/>
                <w:sz w:val="18"/>
                <w:szCs w:val="18"/>
              </w:rPr>
            </w:pPr>
            <w:r w:rsidRPr="006E7C3F">
              <w:rPr>
                <w:rFonts w:ascii="Arial Narrow" w:eastAsia="Times New Roman" w:hAnsi="Arial Narrow" w:cs="Arial"/>
                <w:sz w:val="18"/>
                <w:szCs w:val="18"/>
              </w:rPr>
              <w:t>428</w:t>
            </w:r>
          </w:p>
        </w:tc>
      </w:tr>
    </w:tbl>
    <w:p w14:paraId="2ABE918D" w14:textId="77777777" w:rsidR="00274B32" w:rsidRDefault="00274B32" w:rsidP="00785817">
      <w:pPr>
        <w:rPr>
          <w:rFonts w:asciiTheme="majorHAnsi" w:hAnsiTheme="majorHAnsi"/>
        </w:rPr>
      </w:pPr>
    </w:p>
    <w:sectPr w:rsidR="00274B32" w:rsidSect="00352F05">
      <w:headerReference w:type="even" r:id="rId91"/>
      <w:headerReference w:type="default" r:id="rId92"/>
      <w:footerReference w:type="even" r:id="rId93"/>
      <w:footerReference w:type="default" r:id="rId94"/>
      <w:footerReference w:type="first" r:id="rId95"/>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F3E083" w14:textId="77777777" w:rsidR="00977094" w:rsidRDefault="00977094" w:rsidP="00274B32">
      <w:r>
        <w:separator/>
      </w:r>
    </w:p>
  </w:endnote>
  <w:endnote w:type="continuationSeparator" w:id="0">
    <w:p w14:paraId="4B487734" w14:textId="77777777" w:rsidR="00977094" w:rsidRDefault="00977094" w:rsidP="00274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Cambria Math">
    <w:panose1 w:val="02040503050406030204"/>
    <w:charset w:val="00"/>
    <w:family w:val="auto"/>
    <w:pitch w:val="variable"/>
    <w:sig w:usb0="E00002FF" w:usb1="420024FF"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AC34A" w14:textId="7D752EBC" w:rsidR="00977094" w:rsidRDefault="00977094">
    <w:pPr>
      <w:pStyle w:val="Footer"/>
      <w:pBdr>
        <w:bottom w:val="single" w:sz="12" w:space="1" w:color="auto"/>
      </w:pBdr>
      <w:rPr>
        <w:rFonts w:asciiTheme="majorHAnsi" w:hAnsiTheme="majorHAnsi"/>
        <w:sz w:val="20"/>
        <w:szCs w:val="20"/>
      </w:rPr>
    </w:pPr>
  </w:p>
  <w:p w14:paraId="4EB2A927" w14:textId="77777777" w:rsidR="00977094" w:rsidRPr="0038779F" w:rsidRDefault="00977094">
    <w:pPr>
      <w:pStyle w:val="Footer"/>
      <w:rPr>
        <w:rFonts w:asciiTheme="majorHAnsi" w:hAnsiTheme="majorHAnsi"/>
        <w:sz w:val="6"/>
        <w:szCs w:val="6"/>
      </w:rPr>
    </w:pPr>
  </w:p>
  <w:p w14:paraId="7B81FCC9" w14:textId="6DCA5278" w:rsidR="00977094" w:rsidRPr="002C3656" w:rsidRDefault="00977094">
    <w:pPr>
      <w:pStyle w:val="Footer"/>
      <w:rPr>
        <w:rFonts w:asciiTheme="majorHAnsi" w:hAnsiTheme="majorHAnsi"/>
        <w:sz w:val="20"/>
        <w:szCs w:val="20"/>
      </w:rPr>
    </w:pPr>
    <w:r>
      <w:rPr>
        <w:rFonts w:asciiTheme="majorHAnsi" w:hAnsiTheme="majorHAnsi"/>
        <w:sz w:val="20"/>
        <w:szCs w:val="20"/>
      </w:rPr>
      <w:t>DfID Consortium Partners (SCI, OGB, ACF &amp; SI)</w:t>
    </w:r>
    <w:r w:rsidRPr="00D81227">
      <w:rPr>
        <w:rFonts w:asciiTheme="majorHAnsi" w:hAnsiTheme="majorHAnsi"/>
        <w:sz w:val="20"/>
        <w:szCs w:val="20"/>
      </w:rPr>
      <w:ptab w:relativeTo="margin" w:alignment="center" w:leader="none"/>
    </w:r>
    <w:r>
      <w:rPr>
        <w:rFonts w:asciiTheme="majorHAnsi" w:hAnsiTheme="majorHAnsi"/>
        <w:sz w:val="20"/>
        <w:szCs w:val="20"/>
      </w:rPr>
      <w:t>May 2015</w:t>
    </w:r>
    <w:r w:rsidRPr="00D81227">
      <w:rPr>
        <w:rFonts w:asciiTheme="majorHAnsi" w:hAnsiTheme="majorHAnsi"/>
        <w:sz w:val="20"/>
        <w:szCs w:val="20"/>
      </w:rPr>
      <w:ptab w:relativeTo="margin" w:alignment="right" w:leader="none"/>
    </w:r>
    <w:r>
      <w:rPr>
        <w:rFonts w:asciiTheme="majorHAnsi" w:hAnsiTheme="majorHAnsi"/>
        <w:sz w:val="20"/>
        <w:szCs w:val="20"/>
      </w:rPr>
      <w:t>Sittwe Township, Rakhine State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600A9" w14:textId="744DCA62" w:rsidR="00977094" w:rsidRDefault="00977094" w:rsidP="00274B32">
    <w:pPr>
      <w:pStyle w:val="Footer"/>
      <w:pBdr>
        <w:bottom w:val="single" w:sz="12" w:space="1" w:color="auto"/>
      </w:pBdr>
      <w:rPr>
        <w:sz w:val="20"/>
        <w:szCs w:val="20"/>
      </w:rPr>
    </w:pPr>
  </w:p>
  <w:p w14:paraId="103426CB" w14:textId="77777777" w:rsidR="00977094" w:rsidRPr="00D81227" w:rsidRDefault="00977094" w:rsidP="00274B32">
    <w:pPr>
      <w:pStyle w:val="Footer"/>
      <w:rPr>
        <w:sz w:val="6"/>
        <w:szCs w:val="6"/>
      </w:rPr>
    </w:pPr>
  </w:p>
  <w:p w14:paraId="3DCE4487" w14:textId="03FDCAA2" w:rsidR="00977094" w:rsidRPr="00274B32" w:rsidRDefault="00977094" w:rsidP="00274B32">
    <w:pPr>
      <w:pStyle w:val="Footer"/>
      <w:rPr>
        <w:sz w:val="20"/>
        <w:szCs w:val="20"/>
      </w:rPr>
    </w:pPr>
    <w:r>
      <w:rPr>
        <w:sz w:val="20"/>
        <w:szCs w:val="20"/>
      </w:rPr>
      <w:t>DfID Consortium Partners (SCI, OGB, ACF &amp; SI)</w:t>
    </w:r>
    <w:r w:rsidRPr="00D81227">
      <w:rPr>
        <w:sz w:val="20"/>
        <w:szCs w:val="20"/>
      </w:rPr>
      <w:ptab w:relativeTo="margin" w:alignment="center" w:leader="none"/>
    </w:r>
    <w:proofErr w:type="gramStart"/>
    <w:r>
      <w:rPr>
        <w:sz w:val="20"/>
        <w:szCs w:val="20"/>
      </w:rPr>
      <w:t xml:space="preserve">                 May</w:t>
    </w:r>
    <w:proofErr w:type="gramEnd"/>
    <w:r>
      <w:rPr>
        <w:sz w:val="20"/>
        <w:szCs w:val="20"/>
      </w:rPr>
      <w:t xml:space="preserve"> 2015</w:t>
    </w:r>
    <w:r w:rsidRPr="00D81227">
      <w:rPr>
        <w:sz w:val="20"/>
        <w:szCs w:val="20"/>
      </w:rPr>
      <w:ptab w:relativeTo="margin" w:alignment="right" w:leader="none"/>
    </w:r>
    <w:r>
      <w:rPr>
        <w:sz w:val="20"/>
        <w:szCs w:val="20"/>
      </w:rPr>
      <w:t>Sittwe Township, Rakhine State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C799A" w14:textId="15F3A31B" w:rsidR="00977094" w:rsidRDefault="00977094">
    <w:pPr>
      <w:pStyle w:val="Footer"/>
    </w:pPr>
    <w:sdt>
      <w:sdtPr>
        <w:id w:val="-1560084004"/>
        <w:temporary/>
        <w:showingPlcHdr/>
      </w:sdtPr>
      <w:sdtContent>
        <w:r>
          <w:t>[Type text]</w:t>
        </w:r>
      </w:sdtContent>
    </w:sdt>
    <w:r>
      <w:ptab w:relativeTo="margin" w:alignment="center" w:leader="none"/>
    </w:r>
    <w:sdt>
      <w:sdtPr>
        <w:id w:val="-1543821562"/>
        <w:temporary/>
        <w:showingPlcHdr/>
      </w:sdtPr>
      <w:sdtContent>
        <w:r>
          <w:t>[Type text]</w:t>
        </w:r>
      </w:sdtContent>
    </w:sdt>
    <w:r>
      <w:ptab w:relativeTo="margin" w:alignment="right" w:leader="none"/>
    </w:r>
    <w:sdt>
      <w:sdtPr>
        <w:id w:val="1709844883"/>
        <w:temporary/>
        <w:showingPlcHdr/>
      </w:sdtPr>
      <w:sdtContent>
        <w:r>
          <w:t>[Type text]</w:t>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8E4CA4" w14:textId="77777777" w:rsidR="00977094" w:rsidRDefault="00977094" w:rsidP="00274B32">
      <w:r>
        <w:separator/>
      </w:r>
    </w:p>
  </w:footnote>
  <w:footnote w:type="continuationSeparator" w:id="0">
    <w:p w14:paraId="2F83B292" w14:textId="77777777" w:rsidR="00977094" w:rsidRDefault="00977094" w:rsidP="00274B32">
      <w:r>
        <w:continuationSeparator/>
      </w:r>
    </w:p>
  </w:footnote>
  <w:footnote w:id="1">
    <w:p w14:paraId="012CC5DD" w14:textId="625D2329" w:rsidR="00977094" w:rsidRPr="00C367BE" w:rsidRDefault="00977094">
      <w:pPr>
        <w:pStyle w:val="FootnoteText"/>
        <w:rPr>
          <w:rFonts w:asciiTheme="majorHAnsi" w:hAnsiTheme="majorHAnsi"/>
          <w:sz w:val="18"/>
          <w:szCs w:val="18"/>
          <w:lang w:val="en-US"/>
        </w:rPr>
      </w:pPr>
      <w:r>
        <w:rPr>
          <w:rStyle w:val="FootnoteReference"/>
        </w:rPr>
        <w:footnoteRef/>
      </w:r>
      <w:r>
        <w:t xml:space="preserve"> </w:t>
      </w:r>
      <w:r>
        <w:rPr>
          <w:rFonts w:asciiTheme="majorHAnsi" w:hAnsiTheme="majorHAnsi"/>
          <w:sz w:val="18"/>
          <w:szCs w:val="18"/>
          <w:lang w:val="en-US"/>
        </w:rPr>
        <w:t>Source: Camp Coordination and Camp Management (CCCM) Cluster, Camp List (Feb 2015)</w:t>
      </w:r>
    </w:p>
  </w:footnote>
  <w:footnote w:id="2">
    <w:p w14:paraId="01151258" w14:textId="57F3CAB0" w:rsidR="00977094" w:rsidRPr="00E31A64" w:rsidRDefault="00977094">
      <w:pPr>
        <w:pStyle w:val="FootnoteText"/>
        <w:rPr>
          <w:rFonts w:asciiTheme="majorHAnsi" w:hAnsiTheme="majorHAnsi"/>
          <w:sz w:val="18"/>
          <w:szCs w:val="18"/>
          <w:lang w:val="en-US"/>
        </w:rPr>
      </w:pPr>
      <w:r>
        <w:rPr>
          <w:rStyle w:val="FootnoteReference"/>
        </w:rPr>
        <w:footnoteRef/>
      </w:r>
      <w:r>
        <w:t xml:space="preserve">  </w:t>
      </w:r>
      <w:r w:rsidRPr="00E31A64">
        <w:rPr>
          <w:rFonts w:asciiTheme="majorHAnsi" w:hAnsiTheme="majorHAnsi"/>
          <w:sz w:val="18"/>
          <w:szCs w:val="18"/>
        </w:rPr>
        <w:t xml:space="preserve">A </w:t>
      </w:r>
      <w:r>
        <w:rPr>
          <w:rFonts w:asciiTheme="majorHAnsi" w:hAnsiTheme="majorHAnsi"/>
          <w:sz w:val="18"/>
          <w:szCs w:val="18"/>
          <w:lang w:val="en-US"/>
        </w:rPr>
        <w:t>r</w:t>
      </w:r>
      <w:r w:rsidRPr="00E31A64">
        <w:rPr>
          <w:rFonts w:asciiTheme="majorHAnsi" w:hAnsiTheme="majorHAnsi"/>
          <w:sz w:val="18"/>
          <w:szCs w:val="18"/>
          <w:lang w:val="en-US"/>
        </w:rPr>
        <w:t xml:space="preserve">egistration </w:t>
      </w:r>
      <w:r>
        <w:rPr>
          <w:rFonts w:asciiTheme="majorHAnsi" w:hAnsiTheme="majorHAnsi"/>
          <w:sz w:val="18"/>
          <w:szCs w:val="18"/>
          <w:lang w:val="en-US"/>
        </w:rPr>
        <w:t xml:space="preserve">process for IDP status was suspended in September 2012. IDPs relocating to the camps of Rural Sittwe shortly after the completion of the temporary shelters in September 2013 were never formally recognized by the RSG. However, these IDPs from villages to the north of Sittwe downtown are included on the CCCM Camp List. </w:t>
      </w:r>
    </w:p>
  </w:footnote>
  <w:footnote w:id="3">
    <w:p w14:paraId="71EEE248" w14:textId="77777777" w:rsidR="00977094" w:rsidRPr="00FC648F" w:rsidRDefault="00977094" w:rsidP="0024351A">
      <w:pPr>
        <w:pStyle w:val="FootnoteText"/>
        <w:jc w:val="both"/>
        <w:rPr>
          <w:rFonts w:asciiTheme="majorHAnsi" w:hAnsiTheme="majorHAnsi"/>
          <w:sz w:val="18"/>
          <w:szCs w:val="18"/>
          <w:lang w:val="en-US"/>
        </w:rPr>
      </w:pPr>
      <w:r>
        <w:rPr>
          <w:rStyle w:val="FootnoteReference"/>
        </w:rPr>
        <w:footnoteRef/>
      </w:r>
      <w:r>
        <w:t xml:space="preserve"> </w:t>
      </w:r>
      <w:r w:rsidRPr="00FC648F">
        <w:rPr>
          <w:rFonts w:asciiTheme="majorHAnsi" w:hAnsiTheme="majorHAnsi"/>
          <w:sz w:val="18"/>
          <w:szCs w:val="18"/>
        </w:rPr>
        <w:t xml:space="preserve">IDPs </w:t>
      </w:r>
      <w:r>
        <w:rPr>
          <w:rFonts w:asciiTheme="majorHAnsi" w:hAnsiTheme="majorHAnsi"/>
          <w:sz w:val="18"/>
          <w:szCs w:val="18"/>
        </w:rPr>
        <w:t xml:space="preserve">living </w:t>
      </w:r>
      <w:r w:rsidRPr="00FC648F">
        <w:rPr>
          <w:rFonts w:asciiTheme="majorHAnsi" w:hAnsiTheme="majorHAnsi"/>
          <w:sz w:val="18"/>
          <w:szCs w:val="18"/>
        </w:rPr>
        <w:t xml:space="preserve">in </w:t>
      </w:r>
      <w:r>
        <w:rPr>
          <w:rFonts w:asciiTheme="majorHAnsi" w:hAnsiTheme="majorHAnsi"/>
          <w:sz w:val="18"/>
          <w:szCs w:val="18"/>
        </w:rPr>
        <w:t xml:space="preserve">a tented community near to the port in </w:t>
      </w:r>
      <w:r w:rsidRPr="00FC648F">
        <w:rPr>
          <w:rFonts w:asciiTheme="majorHAnsi" w:hAnsiTheme="majorHAnsi"/>
          <w:sz w:val="18"/>
          <w:szCs w:val="18"/>
        </w:rPr>
        <w:t>Teh Chaung</w:t>
      </w:r>
      <w:r>
        <w:rPr>
          <w:rFonts w:asciiTheme="majorHAnsi" w:hAnsiTheme="majorHAnsi"/>
          <w:sz w:val="18"/>
          <w:szCs w:val="18"/>
        </w:rPr>
        <w:t xml:space="preserve"> village were offered temporary shelter by the RSG in July 2013 but refused to relocate away from the port. Although RSG security concerns forbids the construction of shelters, the mostly Kaman community have permission from the Security Minister to temporarily occupy the land.</w:t>
      </w:r>
    </w:p>
  </w:footnote>
  <w:footnote w:id="4">
    <w:p w14:paraId="419A5E93" w14:textId="2539A121" w:rsidR="00977094" w:rsidRPr="00CD7B99" w:rsidRDefault="00977094">
      <w:pPr>
        <w:pStyle w:val="FootnoteText"/>
        <w:rPr>
          <w:lang w:val="en-US"/>
        </w:rPr>
      </w:pPr>
      <w:r>
        <w:rPr>
          <w:rStyle w:val="FootnoteReference"/>
        </w:rPr>
        <w:footnoteRef/>
      </w:r>
      <w:r>
        <w:t xml:space="preserve"> </w:t>
      </w:r>
      <w:r w:rsidRPr="00F931B7">
        <w:rPr>
          <w:rFonts w:asciiTheme="majorHAnsi" w:hAnsiTheme="majorHAnsi"/>
          <w:sz w:val="20"/>
          <w:szCs w:val="20"/>
        </w:rPr>
        <w:t xml:space="preserve">In the first two phases of implementation, </w:t>
      </w:r>
      <w:r w:rsidRPr="00F931B7">
        <w:rPr>
          <w:rFonts w:asciiTheme="majorHAnsi" w:hAnsiTheme="majorHAnsi"/>
          <w:sz w:val="20"/>
          <w:szCs w:val="20"/>
          <w:lang w:val="en-US"/>
        </w:rPr>
        <w:t xml:space="preserve">the consortium included </w:t>
      </w:r>
      <w:r>
        <w:rPr>
          <w:rFonts w:asciiTheme="majorHAnsi" w:hAnsiTheme="majorHAnsi"/>
          <w:sz w:val="20"/>
          <w:szCs w:val="20"/>
          <w:lang w:val="en-US"/>
        </w:rPr>
        <w:t>the Dutch Consortium of NGOs (CDN). However, for phase 3, CDN were replaced by Oxfam GB</w:t>
      </w:r>
      <w:r>
        <w:rPr>
          <w:lang w:val="en-US"/>
        </w:rPr>
        <w:t xml:space="preserve"> </w:t>
      </w:r>
    </w:p>
  </w:footnote>
  <w:footnote w:id="5">
    <w:p w14:paraId="1F174805" w14:textId="7B8D425C" w:rsidR="00977094" w:rsidRPr="00EF4772" w:rsidRDefault="00977094" w:rsidP="00993F34">
      <w:pPr>
        <w:pStyle w:val="FootnoteText"/>
        <w:rPr>
          <w:rFonts w:asciiTheme="majorHAnsi" w:hAnsiTheme="majorHAnsi"/>
          <w:sz w:val="20"/>
          <w:szCs w:val="20"/>
          <w:lang w:val="en-US"/>
        </w:rPr>
      </w:pPr>
      <w:r>
        <w:rPr>
          <w:rStyle w:val="FootnoteReference"/>
        </w:rPr>
        <w:footnoteRef/>
      </w:r>
      <w:r>
        <w:t xml:space="preserve"> </w:t>
      </w:r>
      <w:r w:rsidRPr="00EF4772">
        <w:rPr>
          <w:rFonts w:asciiTheme="majorHAnsi" w:hAnsiTheme="majorHAnsi"/>
          <w:sz w:val="18"/>
          <w:szCs w:val="18"/>
        </w:rPr>
        <w:t>Surveys were not conducted in 3</w:t>
      </w:r>
      <w:r w:rsidRPr="00EF4772">
        <w:rPr>
          <w:rFonts w:asciiTheme="majorHAnsi" w:hAnsiTheme="majorHAnsi"/>
          <w:sz w:val="18"/>
          <w:szCs w:val="18"/>
          <w:lang w:val="en-US"/>
        </w:rPr>
        <w:t xml:space="preserve"> of the smallest target locations: Set Yone Su 1 IDP camp (</w:t>
      </w:r>
      <w:r>
        <w:rPr>
          <w:rFonts w:asciiTheme="majorHAnsi" w:hAnsiTheme="majorHAnsi"/>
          <w:sz w:val="18"/>
          <w:szCs w:val="18"/>
          <w:lang w:val="en-US"/>
        </w:rPr>
        <w:t>Maramargyi</w:t>
      </w:r>
      <w:r w:rsidRPr="00EF4772">
        <w:rPr>
          <w:rFonts w:asciiTheme="majorHAnsi" w:hAnsiTheme="majorHAnsi"/>
          <w:sz w:val="18"/>
          <w:szCs w:val="18"/>
          <w:lang w:val="en-US"/>
        </w:rPr>
        <w:t xml:space="preserve">), Set Tha Mar Chay village </w:t>
      </w:r>
      <w:r>
        <w:rPr>
          <w:rFonts w:asciiTheme="majorHAnsi" w:hAnsiTheme="majorHAnsi"/>
          <w:sz w:val="18"/>
          <w:szCs w:val="18"/>
          <w:lang w:val="en-US"/>
        </w:rPr>
        <w:t xml:space="preserve">(Muslim) </w:t>
      </w:r>
      <w:r w:rsidRPr="00EF4772">
        <w:rPr>
          <w:rFonts w:asciiTheme="majorHAnsi" w:hAnsiTheme="majorHAnsi"/>
          <w:sz w:val="18"/>
          <w:szCs w:val="18"/>
          <w:lang w:val="en-US"/>
        </w:rPr>
        <w:t>and Daung Pauk Kay village (Rakhine)</w:t>
      </w:r>
      <w:r w:rsidRPr="00EF4772">
        <w:rPr>
          <w:rFonts w:asciiTheme="majorHAnsi" w:hAnsiTheme="majorHAnsi"/>
          <w:sz w:val="20"/>
          <w:szCs w:val="20"/>
          <w:lang w:val="en-US"/>
        </w:rPr>
        <w:t xml:space="preserve"> </w:t>
      </w:r>
    </w:p>
  </w:footnote>
  <w:footnote w:id="6">
    <w:p w14:paraId="081943B0" w14:textId="2F15D1A7" w:rsidR="00977094" w:rsidRPr="00D32B2B" w:rsidRDefault="00977094" w:rsidP="00D32B2B">
      <w:pPr>
        <w:pStyle w:val="FootnoteText"/>
        <w:jc w:val="both"/>
        <w:rPr>
          <w:lang w:val="en-US"/>
        </w:rPr>
      </w:pPr>
      <w:r>
        <w:rPr>
          <w:rStyle w:val="FootnoteReference"/>
        </w:rPr>
        <w:footnoteRef/>
      </w:r>
      <w:r>
        <w:t xml:space="preserve"> </w:t>
      </w:r>
      <w:r w:rsidRPr="00D32B2B">
        <w:rPr>
          <w:rFonts w:asciiTheme="majorHAnsi" w:hAnsiTheme="majorHAnsi"/>
          <w:sz w:val="20"/>
          <w:szCs w:val="20"/>
          <w:lang w:val="en-US"/>
        </w:rPr>
        <w:t>The ‘4-Cleans’ are the 4 most important ways to prevent diarrhea in the home which have been actively promoted in Myanmar for the past 30 years</w:t>
      </w:r>
      <w:r>
        <w:rPr>
          <w:lang w:val="en-US"/>
        </w:rPr>
        <w:t xml:space="preserve"> </w:t>
      </w:r>
      <w:r w:rsidRPr="00D32B2B">
        <w:rPr>
          <w:rFonts w:asciiTheme="majorHAnsi" w:hAnsiTheme="majorHAnsi"/>
          <w:sz w:val="20"/>
          <w:szCs w:val="20"/>
          <w:lang w:val="en-US"/>
        </w:rPr>
        <w:t>through the Central Health Education Bureau (CHEB), a depar</w:t>
      </w:r>
      <w:r>
        <w:rPr>
          <w:rFonts w:asciiTheme="majorHAnsi" w:hAnsiTheme="majorHAnsi"/>
          <w:sz w:val="20"/>
          <w:szCs w:val="20"/>
          <w:lang w:val="en-US"/>
        </w:rPr>
        <w:t>tment of the Ministry of Health</w:t>
      </w:r>
    </w:p>
  </w:footnote>
  <w:footnote w:id="7">
    <w:p w14:paraId="157CBB1C" w14:textId="6131B1FC" w:rsidR="00977094" w:rsidRPr="006F018A" w:rsidRDefault="00977094">
      <w:pPr>
        <w:pStyle w:val="FootnoteText"/>
        <w:rPr>
          <w:rFonts w:asciiTheme="majorHAnsi" w:hAnsiTheme="majorHAnsi"/>
          <w:sz w:val="20"/>
          <w:szCs w:val="20"/>
          <w:lang w:val="en-US"/>
        </w:rPr>
      </w:pPr>
      <w:r w:rsidRPr="006F018A">
        <w:rPr>
          <w:rStyle w:val="FootnoteReference"/>
          <w:rFonts w:asciiTheme="majorHAnsi" w:hAnsiTheme="majorHAnsi"/>
          <w:sz w:val="20"/>
          <w:szCs w:val="20"/>
        </w:rPr>
        <w:footnoteRef/>
      </w:r>
      <w:r w:rsidRPr="006F018A">
        <w:rPr>
          <w:rFonts w:asciiTheme="majorHAnsi" w:hAnsiTheme="majorHAnsi"/>
          <w:sz w:val="20"/>
          <w:szCs w:val="20"/>
        </w:rPr>
        <w:t xml:space="preserve"> </w:t>
      </w:r>
      <w:r w:rsidRPr="006F018A">
        <w:rPr>
          <w:rFonts w:asciiTheme="majorHAnsi" w:hAnsiTheme="majorHAnsi"/>
          <w:sz w:val="20"/>
          <w:szCs w:val="20"/>
          <w:lang w:val="en-US"/>
        </w:rPr>
        <w:t xml:space="preserve">The mechanics of Ceramic Water Filters in Myanmar, </w:t>
      </w:r>
      <w:proofErr w:type="spellStart"/>
      <w:r w:rsidRPr="006F018A">
        <w:rPr>
          <w:rFonts w:asciiTheme="majorHAnsi" w:hAnsiTheme="majorHAnsi"/>
          <w:sz w:val="20"/>
          <w:szCs w:val="20"/>
          <w:lang w:val="en-US"/>
        </w:rPr>
        <w:t>Unicef</w:t>
      </w:r>
      <w:proofErr w:type="spellEnd"/>
      <w:r>
        <w:rPr>
          <w:rFonts w:asciiTheme="majorHAnsi" w:hAnsiTheme="majorHAnsi"/>
          <w:sz w:val="20"/>
          <w:szCs w:val="20"/>
          <w:lang w:val="en-US"/>
        </w:rPr>
        <w:t xml:space="preserve"> </w:t>
      </w:r>
      <w:r w:rsidRPr="006F018A">
        <w:rPr>
          <w:rFonts w:asciiTheme="majorHAnsi" w:hAnsiTheme="majorHAnsi"/>
          <w:sz w:val="20"/>
          <w:szCs w:val="20"/>
          <w:lang w:val="en-US"/>
        </w:rPr>
        <w:t>/</w:t>
      </w:r>
      <w:r>
        <w:rPr>
          <w:rFonts w:asciiTheme="majorHAnsi" w:hAnsiTheme="majorHAnsi"/>
          <w:sz w:val="20"/>
          <w:szCs w:val="20"/>
          <w:lang w:val="en-US"/>
        </w:rPr>
        <w:t xml:space="preserve"> </w:t>
      </w:r>
      <w:r w:rsidRPr="006F018A">
        <w:rPr>
          <w:rFonts w:asciiTheme="majorHAnsi" w:hAnsiTheme="majorHAnsi"/>
          <w:sz w:val="20"/>
          <w:szCs w:val="20"/>
          <w:lang w:val="en-US"/>
        </w:rPr>
        <w:t>Safe Water Systems (2009)</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495"/>
      <w:gridCol w:w="9475"/>
    </w:tblGrid>
    <w:tr w:rsidR="00977094" w:rsidRPr="00DB639B" w14:paraId="127A8916" w14:textId="77777777" w:rsidTr="00D81227">
      <w:tc>
        <w:tcPr>
          <w:tcW w:w="248" w:type="pct"/>
          <w:tcBorders>
            <w:bottom w:val="single" w:sz="4" w:space="0" w:color="943634" w:themeColor="accent2" w:themeShade="BF"/>
          </w:tcBorders>
          <w:shd w:val="clear" w:color="auto" w:fill="943634" w:themeFill="accent2" w:themeFillShade="BF"/>
          <w:vAlign w:val="bottom"/>
        </w:tcPr>
        <w:p w14:paraId="4BAB34B8" w14:textId="77777777" w:rsidR="00977094" w:rsidRPr="00124693" w:rsidRDefault="00977094" w:rsidP="00D81227">
          <w:pPr>
            <w:pStyle w:val="Header"/>
            <w:jc w:val="center"/>
            <w:rPr>
              <w:rFonts w:ascii="Calibri" w:hAnsi="Calibri"/>
              <w:b/>
              <w:color w:val="FFFFFF" w:themeColor="background1"/>
            </w:rPr>
          </w:pPr>
          <w:r w:rsidRPr="00124693">
            <w:rPr>
              <w:rFonts w:ascii="Calibri" w:hAnsi="Calibri"/>
              <w:b/>
              <w:color w:val="FFFFFF" w:themeColor="background1"/>
            </w:rPr>
            <w:fldChar w:fldCharType="begin"/>
          </w:r>
          <w:r w:rsidRPr="00124693">
            <w:rPr>
              <w:rFonts w:ascii="Calibri" w:hAnsi="Calibri"/>
              <w:b/>
              <w:color w:val="FFFFFF" w:themeColor="background1"/>
            </w:rPr>
            <w:instrText xml:space="preserve"> PAGE   \* MERGEFORMAT </w:instrText>
          </w:r>
          <w:r w:rsidRPr="00124693">
            <w:rPr>
              <w:rFonts w:ascii="Calibri" w:hAnsi="Calibri"/>
              <w:b/>
              <w:color w:val="FFFFFF" w:themeColor="background1"/>
            </w:rPr>
            <w:fldChar w:fldCharType="separate"/>
          </w:r>
          <w:r w:rsidR="00B924A8">
            <w:rPr>
              <w:rFonts w:ascii="Calibri" w:hAnsi="Calibri"/>
              <w:b/>
              <w:noProof/>
              <w:color w:val="FFFFFF" w:themeColor="background1"/>
            </w:rPr>
            <w:t>8</w:t>
          </w:r>
          <w:r w:rsidRPr="00124693">
            <w:rPr>
              <w:rFonts w:ascii="Calibri" w:hAnsi="Calibri"/>
              <w:b/>
              <w:color w:val="FFFFFF" w:themeColor="background1"/>
            </w:rPr>
            <w:fldChar w:fldCharType="end"/>
          </w:r>
        </w:p>
      </w:tc>
      <w:tc>
        <w:tcPr>
          <w:tcW w:w="4752" w:type="pct"/>
          <w:tcBorders>
            <w:bottom w:val="single" w:sz="4" w:space="0" w:color="auto"/>
          </w:tcBorders>
          <w:vAlign w:val="bottom"/>
        </w:tcPr>
        <w:p w14:paraId="021248AB" w14:textId="28A31E4C" w:rsidR="00977094" w:rsidRPr="00DB639B" w:rsidRDefault="00977094" w:rsidP="00E64758">
          <w:pPr>
            <w:pStyle w:val="Header"/>
            <w:rPr>
              <w:rFonts w:ascii="Calibri" w:hAnsi="Calibri"/>
              <w:bCs/>
              <w:color w:val="000000" w:themeColor="text1"/>
            </w:rPr>
          </w:pPr>
          <w:r>
            <w:rPr>
              <w:rFonts w:ascii="Calibri" w:hAnsi="Calibri"/>
              <w:b/>
              <w:bCs/>
              <w:color w:val="000000" w:themeColor="text1"/>
            </w:rPr>
            <w:t>KN</w:t>
          </w:r>
          <w:sdt>
            <w:sdtPr>
              <w:rPr>
                <w:rFonts w:ascii="Calibri" w:hAnsi="Calibri"/>
                <w:b/>
                <w:bCs/>
                <w:caps/>
                <w:color w:val="000000" w:themeColor="text1"/>
              </w:rPr>
              <w:alias w:val="Title"/>
              <w:id w:val="171999499"/>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caps/>
                  <w:color w:val="000000" w:themeColor="text1"/>
                </w:rPr>
                <w:t xml:space="preserve">owledge Attitudes and Practices Survey of Hygiene Behaviour </w:t>
              </w:r>
            </w:sdtContent>
          </w:sdt>
        </w:p>
      </w:tc>
    </w:tr>
  </w:tbl>
  <w:p w14:paraId="07932AEE" w14:textId="77777777" w:rsidR="00977094" w:rsidRDefault="0097709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475"/>
      <w:gridCol w:w="495"/>
    </w:tblGrid>
    <w:tr w:rsidR="00977094" w14:paraId="31191A9B" w14:textId="77777777" w:rsidTr="003B117C">
      <w:tc>
        <w:tcPr>
          <w:tcW w:w="4752" w:type="pct"/>
          <w:tcBorders>
            <w:bottom w:val="single" w:sz="4" w:space="0" w:color="auto"/>
          </w:tcBorders>
          <w:vAlign w:val="bottom"/>
        </w:tcPr>
        <w:p w14:paraId="0CC5ED81" w14:textId="5DE3590A" w:rsidR="00977094" w:rsidRPr="00DD38F9" w:rsidRDefault="00977094" w:rsidP="002C3656">
          <w:pPr>
            <w:pStyle w:val="Header"/>
            <w:jc w:val="right"/>
            <w:rPr>
              <w:rFonts w:ascii="Calibri" w:hAnsi="Calibri"/>
              <w:bCs/>
              <w:noProof/>
              <w:color w:val="000000" w:themeColor="text1"/>
            </w:rPr>
          </w:pPr>
          <w:r>
            <w:rPr>
              <w:rFonts w:ascii="Calibri" w:hAnsi="Calibri"/>
              <w:b/>
              <w:bCs/>
              <w:caps/>
              <w:color w:val="000000" w:themeColor="text1"/>
            </w:rPr>
            <w:t>KN</w:t>
          </w:r>
          <w:sdt>
            <w:sdtPr>
              <w:rPr>
                <w:rFonts w:ascii="Calibri" w:hAnsi="Calibri"/>
                <w:b/>
                <w:bCs/>
                <w:caps/>
                <w:color w:val="000000" w:themeColor="text1"/>
              </w:rPr>
              <w:alias w:val="Title"/>
              <w:id w:val="171999500"/>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caps/>
                  <w:color w:val="000000" w:themeColor="text1"/>
                </w:rPr>
                <w:t xml:space="preserve">owledge Attitudes and Practices Survey of Hygiene Behaviour </w:t>
              </w:r>
            </w:sdtContent>
          </w:sdt>
        </w:p>
      </w:tc>
      <w:tc>
        <w:tcPr>
          <w:tcW w:w="248" w:type="pct"/>
          <w:tcBorders>
            <w:bottom w:val="single" w:sz="4" w:space="0" w:color="943634" w:themeColor="accent2" w:themeShade="BF"/>
          </w:tcBorders>
          <w:shd w:val="clear" w:color="auto" w:fill="943634" w:themeFill="accent2" w:themeFillShade="BF"/>
          <w:vAlign w:val="bottom"/>
        </w:tcPr>
        <w:p w14:paraId="20351FFE" w14:textId="77777777" w:rsidR="00977094" w:rsidRDefault="00977094" w:rsidP="002C3656">
          <w:pPr>
            <w:pStyle w:val="Header"/>
            <w:rPr>
              <w:color w:val="FFFFFF" w:themeColor="background1"/>
            </w:rPr>
          </w:pPr>
          <w:r w:rsidRPr="00124693">
            <w:rPr>
              <w:rFonts w:ascii="Calibri" w:hAnsi="Calibri"/>
              <w:b/>
              <w:color w:val="FFFFFF" w:themeColor="background1"/>
            </w:rPr>
            <w:fldChar w:fldCharType="begin"/>
          </w:r>
          <w:r w:rsidRPr="00124693">
            <w:rPr>
              <w:rFonts w:ascii="Calibri" w:hAnsi="Calibri"/>
              <w:b/>
              <w:color w:val="FFFFFF" w:themeColor="background1"/>
            </w:rPr>
            <w:instrText xml:space="preserve"> PAGE   \* MERGEFORMAT </w:instrText>
          </w:r>
          <w:r w:rsidRPr="00124693">
            <w:rPr>
              <w:rFonts w:ascii="Calibri" w:hAnsi="Calibri"/>
              <w:b/>
              <w:color w:val="FFFFFF" w:themeColor="background1"/>
            </w:rPr>
            <w:fldChar w:fldCharType="separate"/>
          </w:r>
          <w:r w:rsidR="00B924A8">
            <w:rPr>
              <w:rFonts w:ascii="Calibri" w:hAnsi="Calibri"/>
              <w:b/>
              <w:noProof/>
              <w:color w:val="FFFFFF" w:themeColor="background1"/>
            </w:rPr>
            <w:t>9</w:t>
          </w:r>
          <w:r w:rsidRPr="00124693">
            <w:rPr>
              <w:rFonts w:ascii="Calibri" w:hAnsi="Calibri"/>
              <w:b/>
              <w:color w:val="FFFFFF" w:themeColor="background1"/>
            </w:rPr>
            <w:fldChar w:fldCharType="end"/>
          </w:r>
        </w:p>
      </w:tc>
    </w:tr>
  </w:tbl>
  <w:p w14:paraId="0E77C5C4" w14:textId="77777777" w:rsidR="00977094" w:rsidRDefault="0097709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3410A4"/>
    <w:multiLevelType w:val="hybridMultilevel"/>
    <w:tmpl w:val="3AA2A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BA50F4"/>
    <w:multiLevelType w:val="hybridMultilevel"/>
    <w:tmpl w:val="4BA43E16"/>
    <w:lvl w:ilvl="0" w:tplc="A854414C">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7B2A77"/>
    <w:multiLevelType w:val="hybridMultilevel"/>
    <w:tmpl w:val="9A0E8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BB0AD4"/>
    <w:multiLevelType w:val="hybridMultilevel"/>
    <w:tmpl w:val="103045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32134488"/>
    <w:multiLevelType w:val="hybridMultilevel"/>
    <w:tmpl w:val="BA6EB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880B28"/>
    <w:multiLevelType w:val="hybridMultilevel"/>
    <w:tmpl w:val="271CD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B5455E"/>
    <w:multiLevelType w:val="hybridMultilevel"/>
    <w:tmpl w:val="C276A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9A193E"/>
    <w:multiLevelType w:val="hybridMultilevel"/>
    <w:tmpl w:val="C1461FD2"/>
    <w:lvl w:ilvl="0" w:tplc="1976414E">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3525FA"/>
    <w:multiLevelType w:val="hybridMultilevel"/>
    <w:tmpl w:val="13D0725A"/>
    <w:lvl w:ilvl="0" w:tplc="DEA4CE3A">
      <w:start w:val="4"/>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FC2335A"/>
    <w:multiLevelType w:val="hybridMultilevel"/>
    <w:tmpl w:val="6728D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1D1CD5"/>
    <w:multiLevelType w:val="hybridMultilevel"/>
    <w:tmpl w:val="B308D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0"/>
  </w:num>
  <w:num w:numId="5">
    <w:abstractNumId w:val="7"/>
  </w:num>
  <w:num w:numId="6">
    <w:abstractNumId w:val="10"/>
  </w:num>
  <w:num w:numId="7">
    <w:abstractNumId w:val="1"/>
  </w:num>
  <w:num w:numId="8">
    <w:abstractNumId w:val="2"/>
  </w:num>
  <w:num w:numId="9">
    <w:abstractNumId w:val="5"/>
  </w:num>
  <w:num w:numId="10">
    <w:abstractNumId w:val="11"/>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B32"/>
    <w:rsid w:val="00000F9E"/>
    <w:rsid w:val="00001813"/>
    <w:rsid w:val="000061EA"/>
    <w:rsid w:val="000070A6"/>
    <w:rsid w:val="00017194"/>
    <w:rsid w:val="0002266D"/>
    <w:rsid w:val="00030179"/>
    <w:rsid w:val="00036CA8"/>
    <w:rsid w:val="00045E01"/>
    <w:rsid w:val="000624BA"/>
    <w:rsid w:val="00062B1F"/>
    <w:rsid w:val="00062E63"/>
    <w:rsid w:val="00070A13"/>
    <w:rsid w:val="00071E2D"/>
    <w:rsid w:val="00071E3C"/>
    <w:rsid w:val="00081F1E"/>
    <w:rsid w:val="0008425D"/>
    <w:rsid w:val="0008606B"/>
    <w:rsid w:val="000918A4"/>
    <w:rsid w:val="000978CC"/>
    <w:rsid w:val="000A1A13"/>
    <w:rsid w:val="000A7EDE"/>
    <w:rsid w:val="000B02AB"/>
    <w:rsid w:val="000B34B0"/>
    <w:rsid w:val="000C1640"/>
    <w:rsid w:val="000E154A"/>
    <w:rsid w:val="000E434E"/>
    <w:rsid w:val="000F6852"/>
    <w:rsid w:val="001012C3"/>
    <w:rsid w:val="001077B4"/>
    <w:rsid w:val="00110F21"/>
    <w:rsid w:val="00111BE9"/>
    <w:rsid w:val="00112B81"/>
    <w:rsid w:val="001216DF"/>
    <w:rsid w:val="001224BB"/>
    <w:rsid w:val="00123354"/>
    <w:rsid w:val="0013156A"/>
    <w:rsid w:val="001360F6"/>
    <w:rsid w:val="00137274"/>
    <w:rsid w:val="00143B01"/>
    <w:rsid w:val="001461F2"/>
    <w:rsid w:val="00155A61"/>
    <w:rsid w:val="0016354E"/>
    <w:rsid w:val="001671FB"/>
    <w:rsid w:val="001871DD"/>
    <w:rsid w:val="00195060"/>
    <w:rsid w:val="001A1F69"/>
    <w:rsid w:val="001A301D"/>
    <w:rsid w:val="001B149C"/>
    <w:rsid w:val="001C0EDE"/>
    <w:rsid w:val="001C1EEC"/>
    <w:rsid w:val="001E0E3B"/>
    <w:rsid w:val="001E7865"/>
    <w:rsid w:val="001F1F18"/>
    <w:rsid w:val="001F5007"/>
    <w:rsid w:val="00205C90"/>
    <w:rsid w:val="00212880"/>
    <w:rsid w:val="00212B5C"/>
    <w:rsid w:val="00216D99"/>
    <w:rsid w:val="0022456C"/>
    <w:rsid w:val="00231514"/>
    <w:rsid w:val="00233701"/>
    <w:rsid w:val="002340E7"/>
    <w:rsid w:val="00234AEC"/>
    <w:rsid w:val="002408BA"/>
    <w:rsid w:val="0024351A"/>
    <w:rsid w:val="002445BB"/>
    <w:rsid w:val="002505F1"/>
    <w:rsid w:val="00254C55"/>
    <w:rsid w:val="0025692E"/>
    <w:rsid w:val="00262ABB"/>
    <w:rsid w:val="002631A7"/>
    <w:rsid w:val="0026348C"/>
    <w:rsid w:val="002672FD"/>
    <w:rsid w:val="00267B11"/>
    <w:rsid w:val="00271D97"/>
    <w:rsid w:val="00274B32"/>
    <w:rsid w:val="00275401"/>
    <w:rsid w:val="00290D65"/>
    <w:rsid w:val="00292F1D"/>
    <w:rsid w:val="002A00D4"/>
    <w:rsid w:val="002A25D2"/>
    <w:rsid w:val="002A49E4"/>
    <w:rsid w:val="002C3656"/>
    <w:rsid w:val="002D5450"/>
    <w:rsid w:val="002E4883"/>
    <w:rsid w:val="002E5ABC"/>
    <w:rsid w:val="002F443D"/>
    <w:rsid w:val="00303658"/>
    <w:rsid w:val="0034190C"/>
    <w:rsid w:val="00350433"/>
    <w:rsid w:val="00352F05"/>
    <w:rsid w:val="00354514"/>
    <w:rsid w:val="00367577"/>
    <w:rsid w:val="00367C38"/>
    <w:rsid w:val="003715E2"/>
    <w:rsid w:val="00377412"/>
    <w:rsid w:val="0038600A"/>
    <w:rsid w:val="0038779F"/>
    <w:rsid w:val="003922AE"/>
    <w:rsid w:val="003A03C1"/>
    <w:rsid w:val="003A4263"/>
    <w:rsid w:val="003A7FE4"/>
    <w:rsid w:val="003B117C"/>
    <w:rsid w:val="003C7917"/>
    <w:rsid w:val="003D0F62"/>
    <w:rsid w:val="003F4908"/>
    <w:rsid w:val="003F5D95"/>
    <w:rsid w:val="003F5E27"/>
    <w:rsid w:val="003F7137"/>
    <w:rsid w:val="004006DF"/>
    <w:rsid w:val="00400B7C"/>
    <w:rsid w:val="00401B64"/>
    <w:rsid w:val="0040740D"/>
    <w:rsid w:val="0043276E"/>
    <w:rsid w:val="00444950"/>
    <w:rsid w:val="0048017B"/>
    <w:rsid w:val="004841B4"/>
    <w:rsid w:val="00497CEF"/>
    <w:rsid w:val="004A4AED"/>
    <w:rsid w:val="004A6613"/>
    <w:rsid w:val="004C42CF"/>
    <w:rsid w:val="004C6493"/>
    <w:rsid w:val="004D00C6"/>
    <w:rsid w:val="004D220E"/>
    <w:rsid w:val="004D606C"/>
    <w:rsid w:val="004E297C"/>
    <w:rsid w:val="004E7B55"/>
    <w:rsid w:val="004F43F8"/>
    <w:rsid w:val="005035D1"/>
    <w:rsid w:val="00503FF8"/>
    <w:rsid w:val="00504A50"/>
    <w:rsid w:val="005076E9"/>
    <w:rsid w:val="005118AC"/>
    <w:rsid w:val="00517623"/>
    <w:rsid w:val="00540D56"/>
    <w:rsid w:val="00545E49"/>
    <w:rsid w:val="00552135"/>
    <w:rsid w:val="0055383C"/>
    <w:rsid w:val="00570FDC"/>
    <w:rsid w:val="00572CE2"/>
    <w:rsid w:val="00580C4A"/>
    <w:rsid w:val="00582CB5"/>
    <w:rsid w:val="005913D3"/>
    <w:rsid w:val="0059527D"/>
    <w:rsid w:val="005966FC"/>
    <w:rsid w:val="005B44F2"/>
    <w:rsid w:val="005C0F0B"/>
    <w:rsid w:val="005C28F7"/>
    <w:rsid w:val="005C63E6"/>
    <w:rsid w:val="005C65FA"/>
    <w:rsid w:val="005D3609"/>
    <w:rsid w:val="005D5411"/>
    <w:rsid w:val="005F1009"/>
    <w:rsid w:val="005F5BFF"/>
    <w:rsid w:val="00604BD5"/>
    <w:rsid w:val="006175AE"/>
    <w:rsid w:val="00622B7A"/>
    <w:rsid w:val="006250EF"/>
    <w:rsid w:val="00626707"/>
    <w:rsid w:val="006419D3"/>
    <w:rsid w:val="00646630"/>
    <w:rsid w:val="00654AE6"/>
    <w:rsid w:val="0065530E"/>
    <w:rsid w:val="00657F53"/>
    <w:rsid w:val="00682B4B"/>
    <w:rsid w:val="00691EAA"/>
    <w:rsid w:val="006A37FE"/>
    <w:rsid w:val="006B71D0"/>
    <w:rsid w:val="006C182F"/>
    <w:rsid w:val="006C7D1D"/>
    <w:rsid w:val="006D255A"/>
    <w:rsid w:val="006D59AF"/>
    <w:rsid w:val="006E54FD"/>
    <w:rsid w:val="006E71BF"/>
    <w:rsid w:val="006E7C3F"/>
    <w:rsid w:val="006F018A"/>
    <w:rsid w:val="006F2BF8"/>
    <w:rsid w:val="00700194"/>
    <w:rsid w:val="00730973"/>
    <w:rsid w:val="00731C13"/>
    <w:rsid w:val="007342C9"/>
    <w:rsid w:val="00734854"/>
    <w:rsid w:val="007429A9"/>
    <w:rsid w:val="007439E0"/>
    <w:rsid w:val="00747412"/>
    <w:rsid w:val="00753666"/>
    <w:rsid w:val="0076182B"/>
    <w:rsid w:val="00764A6A"/>
    <w:rsid w:val="00767C4E"/>
    <w:rsid w:val="007751B2"/>
    <w:rsid w:val="00782852"/>
    <w:rsid w:val="00785817"/>
    <w:rsid w:val="00786B5D"/>
    <w:rsid w:val="00786CC5"/>
    <w:rsid w:val="00787287"/>
    <w:rsid w:val="007904A0"/>
    <w:rsid w:val="00794A49"/>
    <w:rsid w:val="007B1AF9"/>
    <w:rsid w:val="007B799A"/>
    <w:rsid w:val="007E4F69"/>
    <w:rsid w:val="007F346B"/>
    <w:rsid w:val="007F572D"/>
    <w:rsid w:val="00802466"/>
    <w:rsid w:val="008110A2"/>
    <w:rsid w:val="008110BE"/>
    <w:rsid w:val="00835CEE"/>
    <w:rsid w:val="00840D74"/>
    <w:rsid w:val="0084627F"/>
    <w:rsid w:val="0085142C"/>
    <w:rsid w:val="00854267"/>
    <w:rsid w:val="00855099"/>
    <w:rsid w:val="0086119B"/>
    <w:rsid w:val="00864F1E"/>
    <w:rsid w:val="008657DC"/>
    <w:rsid w:val="008710E2"/>
    <w:rsid w:val="008838FC"/>
    <w:rsid w:val="00887914"/>
    <w:rsid w:val="008955C9"/>
    <w:rsid w:val="0089776F"/>
    <w:rsid w:val="008A01FB"/>
    <w:rsid w:val="008A32C0"/>
    <w:rsid w:val="008A58BD"/>
    <w:rsid w:val="008A5F07"/>
    <w:rsid w:val="008B503D"/>
    <w:rsid w:val="008C5997"/>
    <w:rsid w:val="008C76E4"/>
    <w:rsid w:val="008C7A58"/>
    <w:rsid w:val="008D679A"/>
    <w:rsid w:val="008E1219"/>
    <w:rsid w:val="008E18D8"/>
    <w:rsid w:val="008F0889"/>
    <w:rsid w:val="008F3E15"/>
    <w:rsid w:val="00906CA4"/>
    <w:rsid w:val="00911E85"/>
    <w:rsid w:val="00912AE8"/>
    <w:rsid w:val="00914746"/>
    <w:rsid w:val="0092115F"/>
    <w:rsid w:val="00922A18"/>
    <w:rsid w:val="009253D5"/>
    <w:rsid w:val="00932FF4"/>
    <w:rsid w:val="009401E8"/>
    <w:rsid w:val="009409A4"/>
    <w:rsid w:val="00943FB9"/>
    <w:rsid w:val="009453BA"/>
    <w:rsid w:val="009628B9"/>
    <w:rsid w:val="00964888"/>
    <w:rsid w:val="00965664"/>
    <w:rsid w:val="009712C9"/>
    <w:rsid w:val="00975A2A"/>
    <w:rsid w:val="00976A79"/>
    <w:rsid w:val="00977094"/>
    <w:rsid w:val="009922CF"/>
    <w:rsid w:val="00993F34"/>
    <w:rsid w:val="00993F9E"/>
    <w:rsid w:val="009A29C2"/>
    <w:rsid w:val="009A4F2D"/>
    <w:rsid w:val="009B4B3E"/>
    <w:rsid w:val="009D19ED"/>
    <w:rsid w:val="009D22BB"/>
    <w:rsid w:val="009D3715"/>
    <w:rsid w:val="009D52E6"/>
    <w:rsid w:val="009D6557"/>
    <w:rsid w:val="009E00A7"/>
    <w:rsid w:val="009E4175"/>
    <w:rsid w:val="009F2380"/>
    <w:rsid w:val="00A12947"/>
    <w:rsid w:val="00A20DED"/>
    <w:rsid w:val="00A45730"/>
    <w:rsid w:val="00A51852"/>
    <w:rsid w:val="00A5596F"/>
    <w:rsid w:val="00A6062C"/>
    <w:rsid w:val="00A6315F"/>
    <w:rsid w:val="00A72F4A"/>
    <w:rsid w:val="00AA001B"/>
    <w:rsid w:val="00AA398E"/>
    <w:rsid w:val="00AA632D"/>
    <w:rsid w:val="00AB4C72"/>
    <w:rsid w:val="00AB7B3D"/>
    <w:rsid w:val="00AC0327"/>
    <w:rsid w:val="00AC04B3"/>
    <w:rsid w:val="00AC6719"/>
    <w:rsid w:val="00AC6CBD"/>
    <w:rsid w:val="00AF3DAE"/>
    <w:rsid w:val="00AF7B4D"/>
    <w:rsid w:val="00B01DC9"/>
    <w:rsid w:val="00B125AF"/>
    <w:rsid w:val="00B1263B"/>
    <w:rsid w:val="00B133C4"/>
    <w:rsid w:val="00B14A27"/>
    <w:rsid w:val="00B219EC"/>
    <w:rsid w:val="00B2279C"/>
    <w:rsid w:val="00B35ECA"/>
    <w:rsid w:val="00B35FFA"/>
    <w:rsid w:val="00B4083B"/>
    <w:rsid w:val="00B41627"/>
    <w:rsid w:val="00B51044"/>
    <w:rsid w:val="00B61CB7"/>
    <w:rsid w:val="00B6268F"/>
    <w:rsid w:val="00B65E0B"/>
    <w:rsid w:val="00B65E8D"/>
    <w:rsid w:val="00B722E8"/>
    <w:rsid w:val="00B72C5B"/>
    <w:rsid w:val="00B73331"/>
    <w:rsid w:val="00B751AD"/>
    <w:rsid w:val="00B77DD2"/>
    <w:rsid w:val="00B8259A"/>
    <w:rsid w:val="00B924A8"/>
    <w:rsid w:val="00BA3C81"/>
    <w:rsid w:val="00BA6794"/>
    <w:rsid w:val="00BA7D4D"/>
    <w:rsid w:val="00BB5A84"/>
    <w:rsid w:val="00BC0D6F"/>
    <w:rsid w:val="00BC1C90"/>
    <w:rsid w:val="00BC7B57"/>
    <w:rsid w:val="00BD27A7"/>
    <w:rsid w:val="00BE0079"/>
    <w:rsid w:val="00BE4452"/>
    <w:rsid w:val="00C0573A"/>
    <w:rsid w:val="00C063AF"/>
    <w:rsid w:val="00C120D4"/>
    <w:rsid w:val="00C144FE"/>
    <w:rsid w:val="00C17704"/>
    <w:rsid w:val="00C26846"/>
    <w:rsid w:val="00C35B9C"/>
    <w:rsid w:val="00C367BE"/>
    <w:rsid w:val="00C42AA2"/>
    <w:rsid w:val="00C4564E"/>
    <w:rsid w:val="00C47451"/>
    <w:rsid w:val="00C47B60"/>
    <w:rsid w:val="00C5488A"/>
    <w:rsid w:val="00C633C4"/>
    <w:rsid w:val="00C71483"/>
    <w:rsid w:val="00C774E3"/>
    <w:rsid w:val="00C8092C"/>
    <w:rsid w:val="00C932BD"/>
    <w:rsid w:val="00C93390"/>
    <w:rsid w:val="00CA7F2D"/>
    <w:rsid w:val="00CB1A55"/>
    <w:rsid w:val="00CB4403"/>
    <w:rsid w:val="00CB764D"/>
    <w:rsid w:val="00CD2791"/>
    <w:rsid w:val="00CD31C2"/>
    <w:rsid w:val="00CD7B99"/>
    <w:rsid w:val="00CE0F20"/>
    <w:rsid w:val="00CE2AFE"/>
    <w:rsid w:val="00CE3817"/>
    <w:rsid w:val="00CF06A3"/>
    <w:rsid w:val="00CF1DE1"/>
    <w:rsid w:val="00CF5BB2"/>
    <w:rsid w:val="00CF68FF"/>
    <w:rsid w:val="00D02195"/>
    <w:rsid w:val="00D051B2"/>
    <w:rsid w:val="00D14C77"/>
    <w:rsid w:val="00D1746F"/>
    <w:rsid w:val="00D25FEF"/>
    <w:rsid w:val="00D32176"/>
    <w:rsid w:val="00D32B2B"/>
    <w:rsid w:val="00D3308E"/>
    <w:rsid w:val="00D334FB"/>
    <w:rsid w:val="00D46037"/>
    <w:rsid w:val="00D72AE6"/>
    <w:rsid w:val="00D767B6"/>
    <w:rsid w:val="00D81227"/>
    <w:rsid w:val="00DA147A"/>
    <w:rsid w:val="00DA16F3"/>
    <w:rsid w:val="00DA1F55"/>
    <w:rsid w:val="00DA45C6"/>
    <w:rsid w:val="00DA55A5"/>
    <w:rsid w:val="00DA6A14"/>
    <w:rsid w:val="00DC1166"/>
    <w:rsid w:val="00DC2BD8"/>
    <w:rsid w:val="00DC5C2F"/>
    <w:rsid w:val="00DC635C"/>
    <w:rsid w:val="00DD3B7A"/>
    <w:rsid w:val="00DE720D"/>
    <w:rsid w:val="00DF3855"/>
    <w:rsid w:val="00DF4F8D"/>
    <w:rsid w:val="00DF78AB"/>
    <w:rsid w:val="00DF7DF8"/>
    <w:rsid w:val="00E033DC"/>
    <w:rsid w:val="00E12192"/>
    <w:rsid w:val="00E13A8C"/>
    <w:rsid w:val="00E169C8"/>
    <w:rsid w:val="00E16D4A"/>
    <w:rsid w:val="00E24EAF"/>
    <w:rsid w:val="00E31A64"/>
    <w:rsid w:val="00E37452"/>
    <w:rsid w:val="00E531A4"/>
    <w:rsid w:val="00E64758"/>
    <w:rsid w:val="00E65099"/>
    <w:rsid w:val="00E66497"/>
    <w:rsid w:val="00E8135C"/>
    <w:rsid w:val="00E81442"/>
    <w:rsid w:val="00E90815"/>
    <w:rsid w:val="00E961A1"/>
    <w:rsid w:val="00EA0003"/>
    <w:rsid w:val="00EA2081"/>
    <w:rsid w:val="00EB4D28"/>
    <w:rsid w:val="00EB746C"/>
    <w:rsid w:val="00EB7994"/>
    <w:rsid w:val="00ED4ED2"/>
    <w:rsid w:val="00EF4772"/>
    <w:rsid w:val="00F11376"/>
    <w:rsid w:val="00F36E5E"/>
    <w:rsid w:val="00F520C2"/>
    <w:rsid w:val="00F6060F"/>
    <w:rsid w:val="00F73C6D"/>
    <w:rsid w:val="00F83FDE"/>
    <w:rsid w:val="00F90FE3"/>
    <w:rsid w:val="00F931B7"/>
    <w:rsid w:val="00FA0DA0"/>
    <w:rsid w:val="00FA78CF"/>
    <w:rsid w:val="00FB148D"/>
    <w:rsid w:val="00FB4855"/>
    <w:rsid w:val="00FB5A32"/>
    <w:rsid w:val="00FC648F"/>
    <w:rsid w:val="00FC7675"/>
    <w:rsid w:val="00FD0063"/>
    <w:rsid w:val="00FD4A58"/>
    <w:rsid w:val="00FE02F3"/>
    <w:rsid w:val="00FE0994"/>
    <w:rsid w:val="00FE15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FB0F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119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A30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3217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4B32"/>
    <w:rPr>
      <w:rFonts w:ascii="Lucida Grande" w:hAnsi="Lucida Grande"/>
      <w:sz w:val="18"/>
      <w:szCs w:val="18"/>
    </w:rPr>
  </w:style>
  <w:style w:type="character" w:customStyle="1" w:styleId="BalloonTextChar">
    <w:name w:val="Balloon Text Char"/>
    <w:basedOn w:val="DefaultParagraphFont"/>
    <w:link w:val="BalloonText"/>
    <w:uiPriority w:val="99"/>
    <w:semiHidden/>
    <w:rsid w:val="00274B32"/>
    <w:rPr>
      <w:rFonts w:ascii="Lucida Grande" w:hAnsi="Lucida Grande"/>
      <w:sz w:val="18"/>
      <w:szCs w:val="18"/>
    </w:rPr>
  </w:style>
  <w:style w:type="paragraph" w:styleId="Header">
    <w:name w:val="header"/>
    <w:basedOn w:val="Normal"/>
    <w:link w:val="HeaderChar"/>
    <w:uiPriority w:val="99"/>
    <w:unhideWhenUsed/>
    <w:rsid w:val="00274B32"/>
    <w:pPr>
      <w:tabs>
        <w:tab w:val="center" w:pos="4320"/>
        <w:tab w:val="right" w:pos="8640"/>
      </w:tabs>
    </w:pPr>
  </w:style>
  <w:style w:type="character" w:customStyle="1" w:styleId="HeaderChar">
    <w:name w:val="Header Char"/>
    <w:basedOn w:val="DefaultParagraphFont"/>
    <w:link w:val="Header"/>
    <w:uiPriority w:val="99"/>
    <w:rsid w:val="00274B32"/>
  </w:style>
  <w:style w:type="paragraph" w:styleId="Footer">
    <w:name w:val="footer"/>
    <w:basedOn w:val="Normal"/>
    <w:link w:val="FooterChar"/>
    <w:uiPriority w:val="99"/>
    <w:unhideWhenUsed/>
    <w:rsid w:val="00274B32"/>
    <w:pPr>
      <w:tabs>
        <w:tab w:val="center" w:pos="4320"/>
        <w:tab w:val="right" w:pos="8640"/>
      </w:tabs>
    </w:pPr>
  </w:style>
  <w:style w:type="character" w:customStyle="1" w:styleId="FooterChar">
    <w:name w:val="Footer Char"/>
    <w:basedOn w:val="DefaultParagraphFont"/>
    <w:link w:val="Footer"/>
    <w:uiPriority w:val="99"/>
    <w:rsid w:val="00274B32"/>
  </w:style>
  <w:style w:type="table" w:styleId="LightShading-Accent1">
    <w:name w:val="Light Shading Accent 1"/>
    <w:basedOn w:val="TableNormal"/>
    <w:uiPriority w:val="60"/>
    <w:rsid w:val="00274B32"/>
    <w:rPr>
      <w:color w:val="365F91" w:themeColor="accent1" w:themeShade="BF"/>
      <w:sz w:val="22"/>
      <w:szCs w:val="22"/>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1"/>
    <w:rsid w:val="00274B32"/>
    <w:rPr>
      <w:sz w:val="22"/>
      <w:szCs w:val="22"/>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qFormat/>
    <w:rsid w:val="00274B32"/>
    <w:rPr>
      <w:rFonts w:ascii="PMingLiU" w:hAnsi="PMingLiU"/>
      <w:sz w:val="22"/>
      <w:szCs w:val="22"/>
      <w:lang w:val="en-US"/>
    </w:rPr>
  </w:style>
  <w:style w:type="character" w:customStyle="1" w:styleId="NoSpacingChar">
    <w:name w:val="No Spacing Char"/>
    <w:basedOn w:val="DefaultParagraphFont"/>
    <w:link w:val="NoSpacing"/>
    <w:rsid w:val="00274B32"/>
    <w:rPr>
      <w:rFonts w:ascii="PMingLiU" w:hAnsi="PMingLiU"/>
      <w:sz w:val="22"/>
      <w:szCs w:val="22"/>
      <w:lang w:val="en-US"/>
    </w:rPr>
  </w:style>
  <w:style w:type="character" w:customStyle="1" w:styleId="Heading1Char">
    <w:name w:val="Heading 1 Char"/>
    <w:basedOn w:val="DefaultParagraphFont"/>
    <w:link w:val="Heading1"/>
    <w:uiPriority w:val="9"/>
    <w:rsid w:val="0086119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1A301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32176"/>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32176"/>
    <w:pPr>
      <w:spacing w:after="200" w:line="276" w:lineRule="auto"/>
      <w:ind w:left="720"/>
      <w:contextualSpacing/>
      <w:jc w:val="both"/>
    </w:pPr>
    <w:rPr>
      <w:rFonts w:eastAsiaTheme="minorHAnsi"/>
      <w:sz w:val="22"/>
      <w:szCs w:val="22"/>
      <w:lang w:val="en-US"/>
    </w:rPr>
  </w:style>
  <w:style w:type="paragraph" w:styleId="Caption">
    <w:name w:val="caption"/>
    <w:basedOn w:val="Normal"/>
    <w:next w:val="Normal"/>
    <w:uiPriority w:val="35"/>
    <w:unhideWhenUsed/>
    <w:qFormat/>
    <w:rsid w:val="00D32176"/>
    <w:pPr>
      <w:spacing w:after="200"/>
      <w:jc w:val="both"/>
    </w:pPr>
    <w:rPr>
      <w:rFonts w:eastAsiaTheme="minorHAnsi"/>
      <w:b/>
      <w:bCs/>
      <w:color w:val="000000" w:themeColor="text1"/>
      <w:sz w:val="18"/>
      <w:szCs w:val="18"/>
      <w:lang w:val="en-US"/>
    </w:rPr>
  </w:style>
  <w:style w:type="paragraph" w:styleId="FootnoteText">
    <w:name w:val="footnote text"/>
    <w:basedOn w:val="Normal"/>
    <w:link w:val="FootnoteTextChar"/>
    <w:uiPriority w:val="99"/>
    <w:unhideWhenUsed/>
    <w:rsid w:val="005D5411"/>
  </w:style>
  <w:style w:type="character" w:customStyle="1" w:styleId="FootnoteTextChar">
    <w:name w:val="Footnote Text Char"/>
    <w:basedOn w:val="DefaultParagraphFont"/>
    <w:link w:val="FootnoteText"/>
    <w:uiPriority w:val="99"/>
    <w:rsid w:val="005D5411"/>
  </w:style>
  <w:style w:type="character" w:styleId="FootnoteReference">
    <w:name w:val="footnote reference"/>
    <w:basedOn w:val="DefaultParagraphFont"/>
    <w:uiPriority w:val="99"/>
    <w:unhideWhenUsed/>
    <w:rsid w:val="005D5411"/>
    <w:rPr>
      <w:vertAlign w:val="superscript"/>
    </w:rPr>
  </w:style>
  <w:style w:type="paragraph" w:styleId="TOC1">
    <w:name w:val="toc 1"/>
    <w:basedOn w:val="Normal"/>
    <w:next w:val="Normal"/>
    <w:autoRedefine/>
    <w:uiPriority w:val="39"/>
    <w:unhideWhenUsed/>
    <w:rsid w:val="000918A4"/>
    <w:pPr>
      <w:tabs>
        <w:tab w:val="left" w:pos="506"/>
        <w:tab w:val="right" w:leader="dot" w:pos="9730"/>
      </w:tabs>
      <w:spacing w:line="360" w:lineRule="auto"/>
    </w:pPr>
    <w:rPr>
      <w:rFonts w:asciiTheme="majorHAnsi" w:hAnsiTheme="majorHAnsi"/>
      <w:b/>
      <w:noProof/>
      <w:sz w:val="22"/>
      <w:szCs w:val="22"/>
    </w:rPr>
  </w:style>
  <w:style w:type="paragraph" w:styleId="TOC2">
    <w:name w:val="toc 2"/>
    <w:basedOn w:val="Normal"/>
    <w:next w:val="Normal"/>
    <w:autoRedefine/>
    <w:uiPriority w:val="39"/>
    <w:unhideWhenUsed/>
    <w:rsid w:val="008C7A58"/>
    <w:pPr>
      <w:ind w:left="240"/>
    </w:pPr>
  </w:style>
  <w:style w:type="paragraph" w:styleId="TOC3">
    <w:name w:val="toc 3"/>
    <w:basedOn w:val="Normal"/>
    <w:next w:val="Normal"/>
    <w:autoRedefine/>
    <w:uiPriority w:val="39"/>
    <w:unhideWhenUsed/>
    <w:rsid w:val="008C7A58"/>
    <w:pPr>
      <w:ind w:left="480"/>
    </w:pPr>
  </w:style>
  <w:style w:type="paragraph" w:styleId="TOC4">
    <w:name w:val="toc 4"/>
    <w:basedOn w:val="Normal"/>
    <w:next w:val="Normal"/>
    <w:autoRedefine/>
    <w:uiPriority w:val="39"/>
    <w:unhideWhenUsed/>
    <w:rsid w:val="008C7A58"/>
    <w:pPr>
      <w:ind w:left="720"/>
    </w:pPr>
  </w:style>
  <w:style w:type="paragraph" w:styleId="TOC5">
    <w:name w:val="toc 5"/>
    <w:basedOn w:val="Normal"/>
    <w:next w:val="Normal"/>
    <w:autoRedefine/>
    <w:uiPriority w:val="39"/>
    <w:unhideWhenUsed/>
    <w:rsid w:val="008C7A58"/>
    <w:pPr>
      <w:ind w:left="960"/>
    </w:pPr>
  </w:style>
  <w:style w:type="paragraph" w:styleId="TOC6">
    <w:name w:val="toc 6"/>
    <w:basedOn w:val="Normal"/>
    <w:next w:val="Normal"/>
    <w:autoRedefine/>
    <w:uiPriority w:val="39"/>
    <w:unhideWhenUsed/>
    <w:rsid w:val="008C7A58"/>
    <w:pPr>
      <w:ind w:left="1200"/>
    </w:pPr>
  </w:style>
  <w:style w:type="paragraph" w:styleId="TOC7">
    <w:name w:val="toc 7"/>
    <w:basedOn w:val="Normal"/>
    <w:next w:val="Normal"/>
    <w:autoRedefine/>
    <w:uiPriority w:val="39"/>
    <w:unhideWhenUsed/>
    <w:rsid w:val="008C7A58"/>
    <w:pPr>
      <w:ind w:left="1440"/>
    </w:pPr>
  </w:style>
  <w:style w:type="paragraph" w:styleId="TOC8">
    <w:name w:val="toc 8"/>
    <w:basedOn w:val="Normal"/>
    <w:next w:val="Normal"/>
    <w:autoRedefine/>
    <w:uiPriority w:val="39"/>
    <w:unhideWhenUsed/>
    <w:rsid w:val="008C7A58"/>
    <w:pPr>
      <w:ind w:left="1680"/>
    </w:pPr>
  </w:style>
  <w:style w:type="paragraph" w:styleId="TOC9">
    <w:name w:val="toc 9"/>
    <w:basedOn w:val="Normal"/>
    <w:next w:val="Normal"/>
    <w:autoRedefine/>
    <w:uiPriority w:val="39"/>
    <w:unhideWhenUsed/>
    <w:rsid w:val="008C7A58"/>
    <w:pPr>
      <w:ind w:left="19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119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A30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3217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4B32"/>
    <w:rPr>
      <w:rFonts w:ascii="Lucida Grande" w:hAnsi="Lucida Grande"/>
      <w:sz w:val="18"/>
      <w:szCs w:val="18"/>
    </w:rPr>
  </w:style>
  <w:style w:type="character" w:customStyle="1" w:styleId="BalloonTextChar">
    <w:name w:val="Balloon Text Char"/>
    <w:basedOn w:val="DefaultParagraphFont"/>
    <w:link w:val="BalloonText"/>
    <w:uiPriority w:val="99"/>
    <w:semiHidden/>
    <w:rsid w:val="00274B32"/>
    <w:rPr>
      <w:rFonts w:ascii="Lucida Grande" w:hAnsi="Lucida Grande"/>
      <w:sz w:val="18"/>
      <w:szCs w:val="18"/>
    </w:rPr>
  </w:style>
  <w:style w:type="paragraph" w:styleId="Header">
    <w:name w:val="header"/>
    <w:basedOn w:val="Normal"/>
    <w:link w:val="HeaderChar"/>
    <w:uiPriority w:val="99"/>
    <w:unhideWhenUsed/>
    <w:rsid w:val="00274B32"/>
    <w:pPr>
      <w:tabs>
        <w:tab w:val="center" w:pos="4320"/>
        <w:tab w:val="right" w:pos="8640"/>
      </w:tabs>
    </w:pPr>
  </w:style>
  <w:style w:type="character" w:customStyle="1" w:styleId="HeaderChar">
    <w:name w:val="Header Char"/>
    <w:basedOn w:val="DefaultParagraphFont"/>
    <w:link w:val="Header"/>
    <w:uiPriority w:val="99"/>
    <w:rsid w:val="00274B32"/>
  </w:style>
  <w:style w:type="paragraph" w:styleId="Footer">
    <w:name w:val="footer"/>
    <w:basedOn w:val="Normal"/>
    <w:link w:val="FooterChar"/>
    <w:uiPriority w:val="99"/>
    <w:unhideWhenUsed/>
    <w:rsid w:val="00274B32"/>
    <w:pPr>
      <w:tabs>
        <w:tab w:val="center" w:pos="4320"/>
        <w:tab w:val="right" w:pos="8640"/>
      </w:tabs>
    </w:pPr>
  </w:style>
  <w:style w:type="character" w:customStyle="1" w:styleId="FooterChar">
    <w:name w:val="Footer Char"/>
    <w:basedOn w:val="DefaultParagraphFont"/>
    <w:link w:val="Footer"/>
    <w:uiPriority w:val="99"/>
    <w:rsid w:val="00274B32"/>
  </w:style>
  <w:style w:type="table" w:styleId="LightShading-Accent1">
    <w:name w:val="Light Shading Accent 1"/>
    <w:basedOn w:val="TableNormal"/>
    <w:uiPriority w:val="60"/>
    <w:rsid w:val="00274B32"/>
    <w:rPr>
      <w:color w:val="365F91" w:themeColor="accent1" w:themeShade="BF"/>
      <w:sz w:val="22"/>
      <w:szCs w:val="22"/>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1"/>
    <w:rsid w:val="00274B32"/>
    <w:rPr>
      <w:sz w:val="22"/>
      <w:szCs w:val="22"/>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qFormat/>
    <w:rsid w:val="00274B32"/>
    <w:rPr>
      <w:rFonts w:ascii="PMingLiU" w:hAnsi="PMingLiU"/>
      <w:sz w:val="22"/>
      <w:szCs w:val="22"/>
      <w:lang w:val="en-US"/>
    </w:rPr>
  </w:style>
  <w:style w:type="character" w:customStyle="1" w:styleId="NoSpacingChar">
    <w:name w:val="No Spacing Char"/>
    <w:basedOn w:val="DefaultParagraphFont"/>
    <w:link w:val="NoSpacing"/>
    <w:rsid w:val="00274B32"/>
    <w:rPr>
      <w:rFonts w:ascii="PMingLiU" w:hAnsi="PMingLiU"/>
      <w:sz w:val="22"/>
      <w:szCs w:val="22"/>
      <w:lang w:val="en-US"/>
    </w:rPr>
  </w:style>
  <w:style w:type="character" w:customStyle="1" w:styleId="Heading1Char">
    <w:name w:val="Heading 1 Char"/>
    <w:basedOn w:val="DefaultParagraphFont"/>
    <w:link w:val="Heading1"/>
    <w:uiPriority w:val="9"/>
    <w:rsid w:val="0086119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1A301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32176"/>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32176"/>
    <w:pPr>
      <w:spacing w:after="200" w:line="276" w:lineRule="auto"/>
      <w:ind w:left="720"/>
      <w:contextualSpacing/>
      <w:jc w:val="both"/>
    </w:pPr>
    <w:rPr>
      <w:rFonts w:eastAsiaTheme="minorHAnsi"/>
      <w:sz w:val="22"/>
      <w:szCs w:val="22"/>
      <w:lang w:val="en-US"/>
    </w:rPr>
  </w:style>
  <w:style w:type="paragraph" w:styleId="Caption">
    <w:name w:val="caption"/>
    <w:basedOn w:val="Normal"/>
    <w:next w:val="Normal"/>
    <w:uiPriority w:val="35"/>
    <w:unhideWhenUsed/>
    <w:qFormat/>
    <w:rsid w:val="00D32176"/>
    <w:pPr>
      <w:spacing w:after="200"/>
      <w:jc w:val="both"/>
    </w:pPr>
    <w:rPr>
      <w:rFonts w:eastAsiaTheme="minorHAnsi"/>
      <w:b/>
      <w:bCs/>
      <w:color w:val="000000" w:themeColor="text1"/>
      <w:sz w:val="18"/>
      <w:szCs w:val="18"/>
      <w:lang w:val="en-US"/>
    </w:rPr>
  </w:style>
  <w:style w:type="paragraph" w:styleId="FootnoteText">
    <w:name w:val="footnote text"/>
    <w:basedOn w:val="Normal"/>
    <w:link w:val="FootnoteTextChar"/>
    <w:uiPriority w:val="99"/>
    <w:unhideWhenUsed/>
    <w:rsid w:val="005D5411"/>
  </w:style>
  <w:style w:type="character" w:customStyle="1" w:styleId="FootnoteTextChar">
    <w:name w:val="Footnote Text Char"/>
    <w:basedOn w:val="DefaultParagraphFont"/>
    <w:link w:val="FootnoteText"/>
    <w:uiPriority w:val="99"/>
    <w:rsid w:val="005D5411"/>
  </w:style>
  <w:style w:type="character" w:styleId="FootnoteReference">
    <w:name w:val="footnote reference"/>
    <w:basedOn w:val="DefaultParagraphFont"/>
    <w:uiPriority w:val="99"/>
    <w:unhideWhenUsed/>
    <w:rsid w:val="005D5411"/>
    <w:rPr>
      <w:vertAlign w:val="superscript"/>
    </w:rPr>
  </w:style>
  <w:style w:type="paragraph" w:styleId="TOC1">
    <w:name w:val="toc 1"/>
    <w:basedOn w:val="Normal"/>
    <w:next w:val="Normal"/>
    <w:autoRedefine/>
    <w:uiPriority w:val="39"/>
    <w:unhideWhenUsed/>
    <w:rsid w:val="000918A4"/>
    <w:pPr>
      <w:tabs>
        <w:tab w:val="left" w:pos="506"/>
        <w:tab w:val="right" w:leader="dot" w:pos="9730"/>
      </w:tabs>
      <w:spacing w:line="360" w:lineRule="auto"/>
    </w:pPr>
    <w:rPr>
      <w:rFonts w:asciiTheme="majorHAnsi" w:hAnsiTheme="majorHAnsi"/>
      <w:b/>
      <w:noProof/>
      <w:sz w:val="22"/>
      <w:szCs w:val="22"/>
    </w:rPr>
  </w:style>
  <w:style w:type="paragraph" w:styleId="TOC2">
    <w:name w:val="toc 2"/>
    <w:basedOn w:val="Normal"/>
    <w:next w:val="Normal"/>
    <w:autoRedefine/>
    <w:uiPriority w:val="39"/>
    <w:unhideWhenUsed/>
    <w:rsid w:val="008C7A58"/>
    <w:pPr>
      <w:ind w:left="240"/>
    </w:pPr>
  </w:style>
  <w:style w:type="paragraph" w:styleId="TOC3">
    <w:name w:val="toc 3"/>
    <w:basedOn w:val="Normal"/>
    <w:next w:val="Normal"/>
    <w:autoRedefine/>
    <w:uiPriority w:val="39"/>
    <w:unhideWhenUsed/>
    <w:rsid w:val="008C7A58"/>
    <w:pPr>
      <w:ind w:left="480"/>
    </w:pPr>
  </w:style>
  <w:style w:type="paragraph" w:styleId="TOC4">
    <w:name w:val="toc 4"/>
    <w:basedOn w:val="Normal"/>
    <w:next w:val="Normal"/>
    <w:autoRedefine/>
    <w:uiPriority w:val="39"/>
    <w:unhideWhenUsed/>
    <w:rsid w:val="008C7A58"/>
    <w:pPr>
      <w:ind w:left="720"/>
    </w:pPr>
  </w:style>
  <w:style w:type="paragraph" w:styleId="TOC5">
    <w:name w:val="toc 5"/>
    <w:basedOn w:val="Normal"/>
    <w:next w:val="Normal"/>
    <w:autoRedefine/>
    <w:uiPriority w:val="39"/>
    <w:unhideWhenUsed/>
    <w:rsid w:val="008C7A58"/>
    <w:pPr>
      <w:ind w:left="960"/>
    </w:pPr>
  </w:style>
  <w:style w:type="paragraph" w:styleId="TOC6">
    <w:name w:val="toc 6"/>
    <w:basedOn w:val="Normal"/>
    <w:next w:val="Normal"/>
    <w:autoRedefine/>
    <w:uiPriority w:val="39"/>
    <w:unhideWhenUsed/>
    <w:rsid w:val="008C7A58"/>
    <w:pPr>
      <w:ind w:left="1200"/>
    </w:pPr>
  </w:style>
  <w:style w:type="paragraph" w:styleId="TOC7">
    <w:name w:val="toc 7"/>
    <w:basedOn w:val="Normal"/>
    <w:next w:val="Normal"/>
    <w:autoRedefine/>
    <w:uiPriority w:val="39"/>
    <w:unhideWhenUsed/>
    <w:rsid w:val="008C7A58"/>
    <w:pPr>
      <w:ind w:left="1440"/>
    </w:pPr>
  </w:style>
  <w:style w:type="paragraph" w:styleId="TOC8">
    <w:name w:val="toc 8"/>
    <w:basedOn w:val="Normal"/>
    <w:next w:val="Normal"/>
    <w:autoRedefine/>
    <w:uiPriority w:val="39"/>
    <w:unhideWhenUsed/>
    <w:rsid w:val="008C7A58"/>
    <w:pPr>
      <w:ind w:left="1680"/>
    </w:pPr>
  </w:style>
  <w:style w:type="paragraph" w:styleId="TOC9">
    <w:name w:val="toc 9"/>
    <w:basedOn w:val="Normal"/>
    <w:next w:val="Normal"/>
    <w:autoRedefine/>
    <w:uiPriority w:val="39"/>
    <w:unhideWhenUsed/>
    <w:rsid w:val="008C7A58"/>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111868">
      <w:bodyDiv w:val="1"/>
      <w:marLeft w:val="0"/>
      <w:marRight w:val="0"/>
      <w:marTop w:val="0"/>
      <w:marBottom w:val="0"/>
      <w:divBdr>
        <w:top w:val="none" w:sz="0" w:space="0" w:color="auto"/>
        <w:left w:val="none" w:sz="0" w:space="0" w:color="auto"/>
        <w:bottom w:val="none" w:sz="0" w:space="0" w:color="auto"/>
        <w:right w:val="none" w:sz="0" w:space="0" w:color="auto"/>
      </w:divBdr>
    </w:div>
    <w:div w:id="375666022">
      <w:bodyDiv w:val="1"/>
      <w:marLeft w:val="0"/>
      <w:marRight w:val="0"/>
      <w:marTop w:val="0"/>
      <w:marBottom w:val="0"/>
      <w:divBdr>
        <w:top w:val="none" w:sz="0" w:space="0" w:color="auto"/>
        <w:left w:val="none" w:sz="0" w:space="0" w:color="auto"/>
        <w:bottom w:val="none" w:sz="0" w:space="0" w:color="auto"/>
        <w:right w:val="none" w:sz="0" w:space="0" w:color="auto"/>
      </w:divBdr>
    </w:div>
    <w:div w:id="398872051">
      <w:bodyDiv w:val="1"/>
      <w:marLeft w:val="0"/>
      <w:marRight w:val="0"/>
      <w:marTop w:val="0"/>
      <w:marBottom w:val="0"/>
      <w:divBdr>
        <w:top w:val="none" w:sz="0" w:space="0" w:color="auto"/>
        <w:left w:val="none" w:sz="0" w:space="0" w:color="auto"/>
        <w:bottom w:val="none" w:sz="0" w:space="0" w:color="auto"/>
        <w:right w:val="none" w:sz="0" w:space="0" w:color="auto"/>
      </w:divBdr>
    </w:div>
    <w:div w:id="829180598">
      <w:bodyDiv w:val="1"/>
      <w:marLeft w:val="0"/>
      <w:marRight w:val="0"/>
      <w:marTop w:val="0"/>
      <w:marBottom w:val="0"/>
      <w:divBdr>
        <w:top w:val="none" w:sz="0" w:space="0" w:color="auto"/>
        <w:left w:val="none" w:sz="0" w:space="0" w:color="auto"/>
        <w:bottom w:val="none" w:sz="0" w:space="0" w:color="auto"/>
        <w:right w:val="none" w:sz="0" w:space="0" w:color="auto"/>
      </w:divBdr>
    </w:div>
    <w:div w:id="839466535">
      <w:bodyDiv w:val="1"/>
      <w:marLeft w:val="0"/>
      <w:marRight w:val="0"/>
      <w:marTop w:val="0"/>
      <w:marBottom w:val="0"/>
      <w:divBdr>
        <w:top w:val="none" w:sz="0" w:space="0" w:color="auto"/>
        <w:left w:val="none" w:sz="0" w:space="0" w:color="auto"/>
        <w:bottom w:val="none" w:sz="0" w:space="0" w:color="auto"/>
        <w:right w:val="none" w:sz="0" w:space="0" w:color="auto"/>
      </w:divBdr>
    </w:div>
    <w:div w:id="13835532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chart" Target="charts/chart1.xml"/><Relationship Id="rId30" Type="http://schemas.openxmlformats.org/officeDocument/2006/relationships/chart" Target="charts/chart12.xml"/><Relationship Id="rId31" Type="http://schemas.openxmlformats.org/officeDocument/2006/relationships/chart" Target="charts/chart13.xml"/><Relationship Id="rId32" Type="http://schemas.openxmlformats.org/officeDocument/2006/relationships/chart" Target="charts/chart14.xml"/><Relationship Id="rId33" Type="http://schemas.openxmlformats.org/officeDocument/2006/relationships/chart" Target="charts/chart15.xml"/><Relationship Id="rId34" Type="http://schemas.openxmlformats.org/officeDocument/2006/relationships/chart" Target="charts/chart16.xml"/><Relationship Id="rId35" Type="http://schemas.openxmlformats.org/officeDocument/2006/relationships/chart" Target="charts/chart17.xml"/><Relationship Id="rId36" Type="http://schemas.openxmlformats.org/officeDocument/2006/relationships/chart" Target="charts/chart18.xml"/><Relationship Id="rId37" Type="http://schemas.openxmlformats.org/officeDocument/2006/relationships/chart" Target="charts/chart19.xml"/><Relationship Id="rId38" Type="http://schemas.openxmlformats.org/officeDocument/2006/relationships/chart" Target="charts/chart20.xml"/><Relationship Id="rId39" Type="http://schemas.openxmlformats.org/officeDocument/2006/relationships/chart" Target="charts/chart21.xml"/><Relationship Id="rId50" Type="http://schemas.openxmlformats.org/officeDocument/2006/relationships/chart" Target="charts/chart32.xml"/><Relationship Id="rId51" Type="http://schemas.openxmlformats.org/officeDocument/2006/relationships/chart" Target="charts/chart33.xml"/><Relationship Id="rId52" Type="http://schemas.openxmlformats.org/officeDocument/2006/relationships/chart" Target="charts/chart34.xml"/><Relationship Id="rId53" Type="http://schemas.openxmlformats.org/officeDocument/2006/relationships/chart" Target="charts/chart35.xml"/><Relationship Id="rId54" Type="http://schemas.openxmlformats.org/officeDocument/2006/relationships/chart" Target="charts/chart36.xml"/><Relationship Id="rId55" Type="http://schemas.openxmlformats.org/officeDocument/2006/relationships/chart" Target="charts/chart37.xml"/><Relationship Id="rId56" Type="http://schemas.openxmlformats.org/officeDocument/2006/relationships/chart" Target="charts/chart38.xml"/><Relationship Id="rId57" Type="http://schemas.openxmlformats.org/officeDocument/2006/relationships/chart" Target="charts/chart39.xml"/><Relationship Id="rId58" Type="http://schemas.openxmlformats.org/officeDocument/2006/relationships/chart" Target="charts/chart40.xml"/><Relationship Id="rId59" Type="http://schemas.openxmlformats.org/officeDocument/2006/relationships/chart" Target="charts/chart41.xml"/><Relationship Id="rId70" Type="http://schemas.openxmlformats.org/officeDocument/2006/relationships/chart" Target="charts/chart52.xml"/><Relationship Id="rId71" Type="http://schemas.openxmlformats.org/officeDocument/2006/relationships/chart" Target="charts/chart53.xml"/><Relationship Id="rId72" Type="http://schemas.openxmlformats.org/officeDocument/2006/relationships/chart" Target="charts/chart54.xml"/><Relationship Id="rId73" Type="http://schemas.openxmlformats.org/officeDocument/2006/relationships/chart" Target="charts/chart55.xml"/><Relationship Id="rId74" Type="http://schemas.openxmlformats.org/officeDocument/2006/relationships/chart" Target="charts/chart56.xml"/><Relationship Id="rId75" Type="http://schemas.openxmlformats.org/officeDocument/2006/relationships/chart" Target="charts/chart57.xml"/><Relationship Id="rId76" Type="http://schemas.openxmlformats.org/officeDocument/2006/relationships/chart" Target="charts/chart58.xml"/><Relationship Id="rId77" Type="http://schemas.openxmlformats.org/officeDocument/2006/relationships/chart" Target="charts/chart59.xml"/><Relationship Id="rId78" Type="http://schemas.openxmlformats.org/officeDocument/2006/relationships/chart" Target="charts/chart60.xml"/><Relationship Id="rId79" Type="http://schemas.openxmlformats.org/officeDocument/2006/relationships/chart" Target="charts/chart61.xml"/><Relationship Id="rId90" Type="http://schemas.openxmlformats.org/officeDocument/2006/relationships/chart" Target="charts/chart72.xml"/><Relationship Id="rId91" Type="http://schemas.openxmlformats.org/officeDocument/2006/relationships/header" Target="header1.xml"/><Relationship Id="rId92" Type="http://schemas.openxmlformats.org/officeDocument/2006/relationships/header" Target="header2.xml"/><Relationship Id="rId93" Type="http://schemas.openxmlformats.org/officeDocument/2006/relationships/footer" Target="footer1.xml"/><Relationship Id="rId94" Type="http://schemas.openxmlformats.org/officeDocument/2006/relationships/footer" Target="footer2.xml"/><Relationship Id="rId95" Type="http://schemas.openxmlformats.org/officeDocument/2006/relationships/footer" Target="footer3.xml"/><Relationship Id="rId96" Type="http://schemas.openxmlformats.org/officeDocument/2006/relationships/fontTable" Target="fontTable.xml"/><Relationship Id="rId97" Type="http://schemas.openxmlformats.org/officeDocument/2006/relationships/theme" Target="theme/theme1.xml"/><Relationship Id="rId20" Type="http://schemas.openxmlformats.org/officeDocument/2006/relationships/chart" Target="charts/chart2.xml"/><Relationship Id="rId21" Type="http://schemas.openxmlformats.org/officeDocument/2006/relationships/chart" Target="charts/chart3.xml"/><Relationship Id="rId22" Type="http://schemas.openxmlformats.org/officeDocument/2006/relationships/chart" Target="charts/chart4.xml"/><Relationship Id="rId23" Type="http://schemas.openxmlformats.org/officeDocument/2006/relationships/chart" Target="charts/chart5.xml"/><Relationship Id="rId24" Type="http://schemas.openxmlformats.org/officeDocument/2006/relationships/chart" Target="charts/chart6.xml"/><Relationship Id="rId25" Type="http://schemas.openxmlformats.org/officeDocument/2006/relationships/chart" Target="charts/chart7.xml"/><Relationship Id="rId26" Type="http://schemas.openxmlformats.org/officeDocument/2006/relationships/chart" Target="charts/chart8.xml"/><Relationship Id="rId27" Type="http://schemas.openxmlformats.org/officeDocument/2006/relationships/chart" Target="charts/chart9.xml"/><Relationship Id="rId28" Type="http://schemas.openxmlformats.org/officeDocument/2006/relationships/chart" Target="charts/chart10.xml"/><Relationship Id="rId29" Type="http://schemas.openxmlformats.org/officeDocument/2006/relationships/chart" Target="charts/chart11.xml"/><Relationship Id="rId40" Type="http://schemas.openxmlformats.org/officeDocument/2006/relationships/chart" Target="charts/chart22.xml"/><Relationship Id="rId41" Type="http://schemas.openxmlformats.org/officeDocument/2006/relationships/chart" Target="charts/chart23.xml"/><Relationship Id="rId42" Type="http://schemas.openxmlformats.org/officeDocument/2006/relationships/chart" Target="charts/chart24.xml"/><Relationship Id="rId43" Type="http://schemas.openxmlformats.org/officeDocument/2006/relationships/chart" Target="charts/chart25.xml"/><Relationship Id="rId44" Type="http://schemas.openxmlformats.org/officeDocument/2006/relationships/chart" Target="charts/chart26.xml"/><Relationship Id="rId45" Type="http://schemas.openxmlformats.org/officeDocument/2006/relationships/chart" Target="charts/chart27.xml"/><Relationship Id="rId46" Type="http://schemas.openxmlformats.org/officeDocument/2006/relationships/chart" Target="charts/chart28.xml"/><Relationship Id="rId47" Type="http://schemas.openxmlformats.org/officeDocument/2006/relationships/chart" Target="charts/chart29.xml"/><Relationship Id="rId48" Type="http://schemas.openxmlformats.org/officeDocument/2006/relationships/chart" Target="charts/chart30.xml"/><Relationship Id="rId49" Type="http://schemas.openxmlformats.org/officeDocument/2006/relationships/chart" Target="charts/chart31.xml"/><Relationship Id="rId60" Type="http://schemas.openxmlformats.org/officeDocument/2006/relationships/chart" Target="charts/chart42.xml"/><Relationship Id="rId61" Type="http://schemas.openxmlformats.org/officeDocument/2006/relationships/chart" Target="charts/chart43.xml"/><Relationship Id="rId62" Type="http://schemas.openxmlformats.org/officeDocument/2006/relationships/chart" Target="charts/chart44.xml"/><Relationship Id="rId63" Type="http://schemas.openxmlformats.org/officeDocument/2006/relationships/chart" Target="charts/chart45.xml"/><Relationship Id="rId64" Type="http://schemas.openxmlformats.org/officeDocument/2006/relationships/chart" Target="charts/chart46.xml"/><Relationship Id="rId65" Type="http://schemas.openxmlformats.org/officeDocument/2006/relationships/chart" Target="charts/chart47.xml"/><Relationship Id="rId66" Type="http://schemas.openxmlformats.org/officeDocument/2006/relationships/chart" Target="charts/chart48.xml"/><Relationship Id="rId67" Type="http://schemas.openxmlformats.org/officeDocument/2006/relationships/chart" Target="charts/chart49.xml"/><Relationship Id="rId68" Type="http://schemas.openxmlformats.org/officeDocument/2006/relationships/chart" Target="charts/chart50.xml"/><Relationship Id="rId69" Type="http://schemas.openxmlformats.org/officeDocument/2006/relationships/chart" Target="charts/chart51.xml"/><Relationship Id="rId80" Type="http://schemas.openxmlformats.org/officeDocument/2006/relationships/chart" Target="charts/chart62.xml"/><Relationship Id="rId81" Type="http://schemas.openxmlformats.org/officeDocument/2006/relationships/chart" Target="charts/chart63.xml"/><Relationship Id="rId82" Type="http://schemas.openxmlformats.org/officeDocument/2006/relationships/chart" Target="charts/chart64.xml"/><Relationship Id="rId83" Type="http://schemas.openxmlformats.org/officeDocument/2006/relationships/chart" Target="charts/chart65.xml"/><Relationship Id="rId84" Type="http://schemas.openxmlformats.org/officeDocument/2006/relationships/chart" Target="charts/chart66.xml"/><Relationship Id="rId85" Type="http://schemas.openxmlformats.org/officeDocument/2006/relationships/chart" Target="charts/chart67.xml"/><Relationship Id="rId86" Type="http://schemas.openxmlformats.org/officeDocument/2006/relationships/chart" Target="charts/chart68.xml"/><Relationship Id="rId87" Type="http://schemas.openxmlformats.org/officeDocument/2006/relationships/chart" Target="charts/chart69.xml"/><Relationship Id="rId88" Type="http://schemas.openxmlformats.org/officeDocument/2006/relationships/chart" Target="charts/chart70.xml"/><Relationship Id="rId89" Type="http://schemas.openxmlformats.org/officeDocument/2006/relationships/chart" Target="charts/chart7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user:Desktop:KAP%20SCI%20%20DfID:KAP%20Survey%20(All)%20-%20Sat%2002%20May%202015.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user:Desktop:KAP%20SCI%20%20DfID:KAP%20Survey%20(All)%20-%20Sat%2002%20May%202015.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Macintosh%20HD:Users:user:Desktop:main%20database%20(Thur%2021s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user:Desktop:KAP%20SCI%20%20DfID:KAP%20Survey%20(All)%20-%20Sat%2002%20May%202015.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Macintosh%20HD:Users:user:Desktop:For%20PT%20-%20KAP%20Survey.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Macintosh%20HD:Users:user:Desktop:For%20PT%20-%20KAP%20Survey.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Macintosh%20HD:Users:user:Desktop:For%20PT%20-%20KAP%20Survey.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Macintosh%20HD:Users:user:Desktop:For%20PT%20-%20KAP%20Survey.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Macintosh%20HD:Users:user:Desktop:For%20PT%20-%20KAP%20Survey.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Macintosh%20HD:Users:user:Desktop:main%20database%20(Thur%2021st).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Macintosh%20HD:Users:user:Desktop:For%20PT%20-%20KAP%20Survey%20(Tue).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Macintosh%20HD:Users:user:Desktop:main%20database%20(Thur%2021s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user:Desktop:working%20KAP%20Database%20(Sat%2016t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'KAP Sampling'!$N$22</c:f>
              <c:strCache>
                <c:ptCount val="1"/>
                <c:pt idx="0">
                  <c:v>Survey</c:v>
                </c:pt>
              </c:strCache>
            </c:strRef>
          </c:tx>
          <c:dPt>
            <c:idx val="0"/>
            <c:bubble3D val="0"/>
            <c:spPr>
              <a:solidFill>
                <a:srgbClr val="00FF80"/>
              </a:solidFill>
              <a:ln>
                <a:solidFill>
                  <a:schemeClr val="tx1"/>
                </a:solidFill>
              </a:ln>
            </c:spPr>
          </c:dPt>
          <c:dPt>
            <c:idx val="1"/>
            <c:bubble3D val="0"/>
            <c:spPr>
              <a:solidFill>
                <a:srgbClr val="FF6FCF"/>
              </a:solidFill>
              <a:ln>
                <a:solidFill>
                  <a:schemeClr val="tx1"/>
                </a:solidFill>
              </a:ln>
            </c:spPr>
          </c:dPt>
          <c:dPt>
            <c:idx val="2"/>
            <c:bubble3D val="0"/>
            <c:spPr>
              <a:solidFill>
                <a:schemeClr val="bg1"/>
              </a:solidFill>
              <a:ln>
                <a:solidFill>
                  <a:schemeClr val="tx1"/>
                </a:solidFill>
              </a:ln>
            </c:spPr>
          </c:dPt>
          <c:dLbls>
            <c:dLbl>
              <c:idx val="0"/>
              <c:layout>
                <c:manualLayout>
                  <c:x val="0.241403105861767"/>
                  <c:y val="0.106481481481481"/>
                </c:manualLayout>
              </c:layout>
              <c:tx>
                <c:rich>
                  <a:bodyPr/>
                  <a:lstStyle/>
                  <a:p>
                    <a:pPr>
                      <a:defRPr sz="800"/>
                    </a:pPr>
                    <a:r>
                      <a:rPr lang="en-US" sz="800">
                        <a:latin typeface="+mj-lt"/>
                      </a:rPr>
                      <a:t>Villages in Remote Areas</a:t>
                    </a:r>
                  </a:p>
                  <a:p>
                    <a:pPr>
                      <a:defRPr sz="800"/>
                    </a:pPr>
                    <a:r>
                      <a:rPr lang="en-US" sz="800">
                        <a:latin typeface="+mj-lt"/>
                      </a:rPr>
                      <a:t>[7%]</a:t>
                    </a:r>
                  </a:p>
                </c:rich>
              </c:tx>
              <c:spPr/>
              <c:showLegendKey val="0"/>
              <c:showVal val="1"/>
              <c:showCatName val="1"/>
              <c:showSerName val="0"/>
              <c:showPercent val="0"/>
              <c:showBubbleSize val="0"/>
            </c:dLbl>
            <c:dLbl>
              <c:idx val="1"/>
              <c:layout>
                <c:manualLayout>
                  <c:x val="0.0459902012248469"/>
                  <c:y val="0.235702743039473"/>
                </c:manualLayout>
              </c:layout>
              <c:tx>
                <c:rich>
                  <a:bodyPr/>
                  <a:lstStyle/>
                  <a:p>
                    <a:pPr>
                      <a:defRPr sz="800"/>
                    </a:pPr>
                    <a:r>
                      <a:rPr lang="en-US" sz="800">
                        <a:latin typeface="+mj-lt"/>
                      </a:rPr>
                      <a:t>Villages near IDP Camps</a:t>
                    </a:r>
                  </a:p>
                  <a:p>
                    <a:pPr>
                      <a:defRPr sz="800"/>
                    </a:pPr>
                    <a:r>
                      <a:rPr lang="en-US" sz="800">
                        <a:latin typeface="+mj-lt"/>
                      </a:rPr>
                      <a:t>[36%]</a:t>
                    </a:r>
                  </a:p>
                </c:rich>
              </c:tx>
              <c:spPr/>
              <c:showLegendKey val="0"/>
              <c:showVal val="1"/>
              <c:showCatName val="1"/>
              <c:showSerName val="0"/>
              <c:showPercent val="0"/>
              <c:showBubbleSize val="0"/>
            </c:dLbl>
            <c:dLbl>
              <c:idx val="2"/>
              <c:layout>
                <c:manualLayout>
                  <c:x val="0.245814173228346"/>
                  <c:y val="0.00188616128866251"/>
                </c:manualLayout>
              </c:layout>
              <c:tx>
                <c:rich>
                  <a:bodyPr/>
                  <a:lstStyle/>
                  <a:p>
                    <a:pPr>
                      <a:defRPr sz="800"/>
                    </a:pPr>
                    <a:r>
                      <a:rPr lang="en-US" sz="800">
                        <a:latin typeface="+mj-lt"/>
                      </a:rPr>
                      <a:t>IDP Camps </a:t>
                    </a:r>
                  </a:p>
                  <a:p>
                    <a:pPr>
                      <a:defRPr sz="800"/>
                    </a:pPr>
                    <a:r>
                      <a:rPr lang="en-US" sz="800">
                        <a:latin typeface="+mj-lt"/>
                      </a:rPr>
                      <a:t>[57%]</a:t>
                    </a:r>
                  </a:p>
                </c:rich>
              </c:tx>
              <c:spPr/>
              <c:showLegendKey val="0"/>
              <c:showVal val="1"/>
              <c:showCatName val="1"/>
              <c:showSerName val="0"/>
              <c:showPercent val="0"/>
              <c:showBubbleSize val="0"/>
            </c:dLbl>
            <c:showLegendKey val="0"/>
            <c:showVal val="1"/>
            <c:showCatName val="1"/>
            <c:showSerName val="0"/>
            <c:showPercent val="0"/>
            <c:showBubbleSize val="0"/>
            <c:showLeaderLines val="1"/>
          </c:dLbls>
          <c:cat>
            <c:strRef>
              <c:f>'KAP Sampling'!$M$23:$M$25</c:f>
              <c:strCache>
                <c:ptCount val="3"/>
                <c:pt idx="0">
                  <c:v>Villages in Remote Areas</c:v>
                </c:pt>
                <c:pt idx="1">
                  <c:v>Villages near IDP Camps</c:v>
                </c:pt>
                <c:pt idx="2">
                  <c:v>IDP Camps</c:v>
                </c:pt>
              </c:strCache>
            </c:strRef>
          </c:cat>
          <c:val>
            <c:numRef>
              <c:f>'KAP Sampling'!$N$23:$N$25</c:f>
              <c:numCache>
                <c:formatCode>General</c:formatCode>
                <c:ptCount val="3"/>
                <c:pt idx="0">
                  <c:v>31.0</c:v>
                </c:pt>
                <c:pt idx="1">
                  <c:v>152.0</c:v>
                </c:pt>
                <c:pt idx="2">
                  <c:v>245.0</c:v>
                </c:pt>
              </c:numCache>
            </c:numRef>
          </c:val>
        </c:ser>
        <c:ser>
          <c:idx val="1"/>
          <c:order val="1"/>
          <c:tx>
            <c:strRef>
              <c:f>'KAP Sampling'!$O$22</c:f>
              <c:strCache>
                <c:ptCount val="1"/>
                <c:pt idx="0">
                  <c:v>%</c:v>
                </c:pt>
              </c:strCache>
            </c:strRef>
          </c:tx>
          <c:cat>
            <c:strRef>
              <c:f>'KAP Sampling'!$M$23:$M$25</c:f>
              <c:strCache>
                <c:ptCount val="3"/>
                <c:pt idx="0">
                  <c:v>Villages in Remote Areas</c:v>
                </c:pt>
                <c:pt idx="1">
                  <c:v>Villages near IDP Camps</c:v>
                </c:pt>
                <c:pt idx="2">
                  <c:v>IDP Camps</c:v>
                </c:pt>
              </c:strCache>
            </c:strRef>
          </c:cat>
          <c:val>
            <c:numRef>
              <c:f>'KAP Sampling'!$O$23:$O$25</c:f>
              <c:numCache>
                <c:formatCode>0%</c:formatCode>
                <c:ptCount val="3"/>
                <c:pt idx="0">
                  <c:v>0.0724299065420561</c:v>
                </c:pt>
                <c:pt idx="1">
                  <c:v>0.355140186915888</c:v>
                </c:pt>
                <c:pt idx="2">
                  <c:v>0.572429906542056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sz="1000">
                <a:latin typeface="+mj-lt"/>
              </a:defRPr>
            </a:pPr>
            <a:r>
              <a:rPr lang="en-US" sz="1000">
                <a:latin typeface="+mj-lt"/>
              </a:rPr>
              <a:t>Need to Change </a:t>
            </a:r>
          </a:p>
          <a:p>
            <a:pPr algn="l">
              <a:defRPr sz="1000">
                <a:latin typeface="+mj-lt"/>
              </a:defRPr>
            </a:pPr>
            <a:r>
              <a:rPr lang="en-US" sz="1000">
                <a:latin typeface="+mj-lt"/>
              </a:rPr>
              <a:t>Water Sources</a:t>
            </a:r>
          </a:p>
        </c:rich>
      </c:tx>
      <c:layout>
        <c:manualLayout>
          <c:xMode val="edge"/>
          <c:yMode val="edge"/>
          <c:x val="0.0917820937868596"/>
          <c:y val="0.0384461656966792"/>
        </c:manualLayout>
      </c:layout>
      <c:overlay val="0"/>
    </c:title>
    <c:autoTitleDeleted val="0"/>
    <c:plotArea>
      <c:layout>
        <c:manualLayout>
          <c:layoutTarget val="inner"/>
          <c:xMode val="edge"/>
          <c:yMode val="edge"/>
          <c:x val="0.181908068894822"/>
          <c:y val="0.250450616227319"/>
          <c:w val="0.741330415779573"/>
          <c:h val="0.631741270112975"/>
        </c:manualLayout>
      </c:layout>
      <c:barChart>
        <c:barDir val="bar"/>
        <c:grouping val="stacked"/>
        <c:varyColors val="0"/>
        <c:ser>
          <c:idx val="0"/>
          <c:order val="0"/>
          <c:tx>
            <c:strRef>
              <c:f>Location!$CD$448</c:f>
              <c:strCache>
                <c:ptCount val="1"/>
                <c:pt idx="0">
                  <c:v>Yes</c:v>
                </c:pt>
              </c:strCache>
            </c:strRef>
          </c:tx>
          <c:spPr>
            <a:solidFill>
              <a:srgbClr val="66FFFF"/>
            </a:solidFill>
            <a:ln>
              <a:solidFill>
                <a:schemeClr val="tx1"/>
              </a:solidFill>
            </a:ln>
          </c:spPr>
          <c:invertIfNegative val="0"/>
          <c:dLbls>
            <c:txPr>
              <a:bodyPr/>
              <a:lstStyle/>
              <a:p>
                <a:pPr>
                  <a:defRPr sz="900" b="1">
                    <a:latin typeface="+mj-lt"/>
                  </a:defRPr>
                </a:pPr>
                <a:endParaRPr lang="en-US"/>
              </a:p>
            </c:txPr>
            <c:dLblPos val="inEnd"/>
            <c:showLegendKey val="0"/>
            <c:showVal val="1"/>
            <c:showCatName val="0"/>
            <c:showSerName val="0"/>
            <c:showPercent val="0"/>
            <c:showBubbleSize val="0"/>
            <c:showLeaderLines val="0"/>
          </c:dLbls>
          <c:cat>
            <c:strRef>
              <c:f>Location!$CE$447:$CG$447</c:f>
              <c:strCache>
                <c:ptCount val="3"/>
                <c:pt idx="0">
                  <c:v>TOTAL</c:v>
                </c:pt>
                <c:pt idx="1">
                  <c:v>IDP Camp</c:v>
                </c:pt>
                <c:pt idx="2">
                  <c:v>Village</c:v>
                </c:pt>
              </c:strCache>
            </c:strRef>
          </c:cat>
          <c:val>
            <c:numRef>
              <c:f>Location!$CE$448:$CG$448</c:f>
              <c:numCache>
                <c:formatCode>0%</c:formatCode>
                <c:ptCount val="3"/>
                <c:pt idx="0">
                  <c:v>0.294392523364486</c:v>
                </c:pt>
                <c:pt idx="1">
                  <c:v>0.190909090909091</c:v>
                </c:pt>
                <c:pt idx="2">
                  <c:v>0.403846153846154</c:v>
                </c:pt>
              </c:numCache>
            </c:numRef>
          </c:val>
        </c:ser>
        <c:ser>
          <c:idx val="1"/>
          <c:order val="1"/>
          <c:tx>
            <c:strRef>
              <c:f>Location!$CD$449</c:f>
              <c:strCache>
                <c:ptCount val="1"/>
                <c:pt idx="0">
                  <c:v>No</c:v>
                </c:pt>
              </c:strCache>
            </c:strRef>
          </c:tx>
          <c:spPr>
            <a:solidFill>
              <a:srgbClr val="FF0000"/>
            </a:solidFill>
            <a:ln>
              <a:solidFill>
                <a:schemeClr val="tx1"/>
              </a:solidFill>
            </a:ln>
          </c:spPr>
          <c:invertIfNegative val="0"/>
          <c:dLbls>
            <c:txPr>
              <a:bodyPr/>
              <a:lstStyle/>
              <a:p>
                <a:pPr>
                  <a:defRPr sz="900" b="1">
                    <a:solidFill>
                      <a:srgbClr val="FFFFFF"/>
                    </a:solidFill>
                  </a:defRPr>
                </a:pPr>
                <a:endParaRPr lang="en-US"/>
              </a:p>
            </c:txPr>
            <c:showLegendKey val="0"/>
            <c:showVal val="1"/>
            <c:showCatName val="0"/>
            <c:showSerName val="0"/>
            <c:showPercent val="0"/>
            <c:showBubbleSize val="0"/>
            <c:showLeaderLines val="0"/>
          </c:dLbls>
          <c:cat>
            <c:strRef>
              <c:f>Location!$CE$447:$CG$447</c:f>
              <c:strCache>
                <c:ptCount val="3"/>
                <c:pt idx="0">
                  <c:v>TOTAL</c:v>
                </c:pt>
                <c:pt idx="1">
                  <c:v>IDP Camp</c:v>
                </c:pt>
                <c:pt idx="2">
                  <c:v>Village</c:v>
                </c:pt>
              </c:strCache>
            </c:strRef>
          </c:cat>
          <c:val>
            <c:numRef>
              <c:f>Location!$CE$449:$CG$449</c:f>
              <c:numCache>
                <c:formatCode>0%</c:formatCode>
                <c:ptCount val="3"/>
                <c:pt idx="0">
                  <c:v>0.698598130841121</c:v>
                </c:pt>
                <c:pt idx="1">
                  <c:v>0.8</c:v>
                </c:pt>
                <c:pt idx="2">
                  <c:v>0.591346153846154</c:v>
                </c:pt>
              </c:numCache>
            </c:numRef>
          </c:val>
        </c:ser>
        <c:dLbls>
          <c:showLegendKey val="0"/>
          <c:showVal val="0"/>
          <c:showCatName val="0"/>
          <c:showSerName val="0"/>
          <c:showPercent val="0"/>
          <c:showBubbleSize val="0"/>
        </c:dLbls>
        <c:gapWidth val="55"/>
        <c:overlap val="100"/>
        <c:axId val="2090139304"/>
        <c:axId val="2090142312"/>
      </c:barChart>
      <c:catAx>
        <c:axId val="2090139304"/>
        <c:scaling>
          <c:orientation val="minMax"/>
        </c:scaling>
        <c:delete val="0"/>
        <c:axPos val="l"/>
        <c:majorTickMark val="none"/>
        <c:minorTickMark val="none"/>
        <c:tickLblPos val="nextTo"/>
        <c:txPr>
          <a:bodyPr/>
          <a:lstStyle/>
          <a:p>
            <a:pPr>
              <a:defRPr sz="900">
                <a:latin typeface="+mj-lt"/>
              </a:defRPr>
            </a:pPr>
            <a:endParaRPr lang="en-US"/>
          </a:p>
        </c:txPr>
        <c:crossAx val="2090142312"/>
        <c:crosses val="autoZero"/>
        <c:auto val="1"/>
        <c:lblAlgn val="ctr"/>
        <c:lblOffset val="100"/>
        <c:noMultiLvlLbl val="0"/>
      </c:catAx>
      <c:valAx>
        <c:axId val="2090142312"/>
        <c:scaling>
          <c:orientation val="minMax"/>
          <c:max val="1.0"/>
        </c:scaling>
        <c:delete val="0"/>
        <c:axPos val="b"/>
        <c:majorGridlines/>
        <c:numFmt formatCode="0%" sourceLinked="1"/>
        <c:majorTickMark val="none"/>
        <c:minorTickMark val="none"/>
        <c:tickLblPos val="nextTo"/>
        <c:txPr>
          <a:bodyPr/>
          <a:lstStyle/>
          <a:p>
            <a:pPr>
              <a:defRPr sz="800"/>
            </a:pPr>
            <a:endParaRPr lang="en-US"/>
          </a:p>
        </c:txPr>
        <c:crossAx val="2090139304"/>
        <c:crosses val="autoZero"/>
        <c:crossBetween val="between"/>
      </c:valAx>
      <c:spPr>
        <a:ln>
          <a:solidFill>
            <a:schemeClr val="tx1"/>
          </a:solidFill>
        </a:ln>
      </c:spPr>
    </c:plotArea>
    <c:legend>
      <c:legendPos val="t"/>
      <c:layout>
        <c:manualLayout>
          <c:xMode val="edge"/>
          <c:yMode val="edge"/>
          <c:x val="0.680609837737894"/>
          <c:y val="0.0"/>
          <c:w val="0.234043562115464"/>
          <c:h val="0.196102790140363"/>
        </c:manualLayou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sz="1000">
                <a:latin typeface="+mj-lt"/>
              </a:defRPr>
            </a:pPr>
            <a:r>
              <a:rPr lang="en-US" sz="1000">
                <a:latin typeface="+mj-lt"/>
              </a:rPr>
              <a:t>Reasons for Changing</a:t>
            </a:r>
          </a:p>
          <a:p>
            <a:pPr algn="l">
              <a:defRPr sz="1000">
                <a:latin typeface="+mj-lt"/>
              </a:defRPr>
            </a:pPr>
            <a:r>
              <a:rPr lang="en-US" sz="1000">
                <a:latin typeface="+mj-lt"/>
              </a:rPr>
              <a:t>Water Source</a:t>
            </a:r>
          </a:p>
        </c:rich>
      </c:tx>
      <c:layout>
        <c:manualLayout>
          <c:xMode val="edge"/>
          <c:yMode val="edge"/>
          <c:x val="0.0502279090113736"/>
          <c:y val="0.0601851851851852"/>
        </c:manualLayout>
      </c:layout>
      <c:overlay val="0"/>
    </c:title>
    <c:autoTitleDeleted val="0"/>
    <c:plotArea>
      <c:layout>
        <c:manualLayout>
          <c:layoutTarget val="inner"/>
          <c:xMode val="edge"/>
          <c:yMode val="edge"/>
          <c:x val="0.43819678531919"/>
          <c:y val="0.301696249833178"/>
          <c:w val="0.481493460011713"/>
          <c:h val="0.608457560389697"/>
        </c:manualLayout>
      </c:layout>
      <c:barChart>
        <c:barDir val="bar"/>
        <c:grouping val="clustered"/>
        <c:varyColors val="0"/>
        <c:ser>
          <c:idx val="0"/>
          <c:order val="0"/>
          <c:tx>
            <c:strRef>
              <c:f>Location!$CE$440</c:f>
              <c:strCache>
                <c:ptCount val="1"/>
                <c:pt idx="0">
                  <c:v>IDP Camp</c:v>
                </c:pt>
              </c:strCache>
            </c:strRef>
          </c:tx>
          <c:spPr>
            <a:solidFill>
              <a:srgbClr val="FFFF00"/>
            </a:solidFill>
            <a:ln>
              <a:solidFill>
                <a:schemeClr val="tx1"/>
              </a:solidFill>
            </a:ln>
          </c:spPr>
          <c:invertIfNegative val="0"/>
          <c:dLbls>
            <c:dLbl>
              <c:idx val="0"/>
              <c:layout>
                <c:manualLayout>
                  <c:x val="0.0206611570247934"/>
                  <c:y val="0.00847457627118648"/>
                </c:manualLayout>
              </c:layout>
              <c:showLegendKey val="0"/>
              <c:showVal val="1"/>
              <c:showCatName val="0"/>
              <c:showSerName val="0"/>
              <c:showPercent val="0"/>
              <c:showBubbleSize val="0"/>
            </c:dLbl>
            <c:dLbl>
              <c:idx val="1"/>
              <c:delete val="1"/>
            </c:dLbl>
            <c:dLbl>
              <c:idx val="2"/>
              <c:layout>
                <c:manualLayout>
                  <c:x val="-3.25372551647306E-7"/>
                  <c:y val="0.0211867743227012"/>
                </c:manualLayout>
              </c:layout>
              <c:showLegendKey val="0"/>
              <c:showVal val="1"/>
              <c:showCatName val="0"/>
              <c:showSerName val="0"/>
              <c:showPercent val="0"/>
              <c:showBubbleSize val="0"/>
            </c:dLbl>
            <c:dLbl>
              <c:idx val="3"/>
              <c:layout>
                <c:manualLayout>
                  <c:x val="-7.57567006097075E-17"/>
                  <c:y val="0.00847457627118652"/>
                </c:manualLayout>
              </c:layout>
              <c:showLegendKey val="0"/>
              <c:showVal val="1"/>
              <c:showCatName val="0"/>
              <c:showSerName val="0"/>
              <c:showPercent val="0"/>
              <c:showBubbleSize val="0"/>
            </c:dLbl>
            <c:dLbl>
              <c:idx val="4"/>
              <c:layout>
                <c:manualLayout>
                  <c:x val="-0.0165289256198348"/>
                  <c:y val="0.00847457627118644"/>
                </c:manualLayout>
              </c:layout>
              <c:showLegendKey val="0"/>
              <c:showVal val="1"/>
              <c:showCatName val="0"/>
              <c:showSerName val="0"/>
              <c:showPercent val="0"/>
              <c:showBubbleSize val="0"/>
            </c:dLbl>
            <c:dLbl>
              <c:idx val="5"/>
              <c:layout>
                <c:manualLayout>
                  <c:x val="-7.57567006097075E-17"/>
                  <c:y val="0.0169491525423729"/>
                </c:manualLayout>
              </c:layout>
              <c:showLegendKey val="0"/>
              <c:showVal val="1"/>
              <c:showCatName val="0"/>
              <c:showSerName val="0"/>
              <c:showPercent val="0"/>
              <c:showBubbleSize val="0"/>
            </c:dLbl>
            <c:txPr>
              <a:bodyPr/>
              <a:lstStyle/>
              <a:p>
                <a:pPr>
                  <a:defRPr sz="800" b="1"/>
                </a:pPr>
                <a:endParaRPr lang="en-US"/>
              </a:p>
            </c:txPr>
            <c:showLegendKey val="0"/>
            <c:showVal val="1"/>
            <c:showCatName val="0"/>
            <c:showSerName val="0"/>
            <c:showPercent val="0"/>
            <c:showBubbleSize val="0"/>
            <c:showLeaderLines val="0"/>
          </c:dLbls>
          <c:cat>
            <c:strRef>
              <c:f>Location!$CF$439:$CK$439</c:f>
              <c:strCache>
                <c:ptCount val="6"/>
                <c:pt idx="0">
                  <c:v>Insufficient quantity</c:v>
                </c:pt>
                <c:pt idx="1">
                  <c:v>Rainwater Prefered</c:v>
                </c:pt>
                <c:pt idx="2">
                  <c:v>Poor Water Quality</c:v>
                </c:pt>
                <c:pt idx="3">
                  <c:v>Change in the taste</c:v>
                </c:pt>
                <c:pt idx="4">
                  <c:v>Handpump Breaks Down</c:v>
                </c:pt>
                <c:pt idx="5">
                  <c:v>OTHER</c:v>
                </c:pt>
              </c:strCache>
            </c:strRef>
          </c:cat>
          <c:val>
            <c:numRef>
              <c:f>Location!$CF$440:$CK$440</c:f>
              <c:numCache>
                <c:formatCode>0%</c:formatCode>
                <c:ptCount val="6"/>
                <c:pt idx="0">
                  <c:v>0.0363636363636364</c:v>
                </c:pt>
                <c:pt idx="1">
                  <c:v>0.0</c:v>
                </c:pt>
                <c:pt idx="2">
                  <c:v>0.0272727272727273</c:v>
                </c:pt>
                <c:pt idx="3">
                  <c:v>0.0227272727272727</c:v>
                </c:pt>
                <c:pt idx="4">
                  <c:v>0.0727272727272727</c:v>
                </c:pt>
                <c:pt idx="5">
                  <c:v>0.0181818181818182</c:v>
                </c:pt>
              </c:numCache>
            </c:numRef>
          </c:val>
        </c:ser>
        <c:ser>
          <c:idx val="1"/>
          <c:order val="1"/>
          <c:tx>
            <c:strRef>
              <c:f>Location!$CE$441</c:f>
              <c:strCache>
                <c:ptCount val="1"/>
                <c:pt idx="0">
                  <c:v>Village</c:v>
                </c:pt>
              </c:strCache>
            </c:strRef>
          </c:tx>
          <c:spPr>
            <a:solidFill>
              <a:schemeClr val="tx2"/>
            </a:solidFill>
            <a:ln>
              <a:solidFill>
                <a:schemeClr val="tx1"/>
              </a:solidFill>
            </a:ln>
          </c:spPr>
          <c:invertIfNegative val="0"/>
          <c:dLbls>
            <c:txPr>
              <a:bodyPr/>
              <a:lstStyle/>
              <a:p>
                <a:pPr>
                  <a:defRPr sz="800"/>
                </a:pPr>
                <a:endParaRPr lang="en-US"/>
              </a:p>
            </c:txPr>
            <c:showLegendKey val="0"/>
            <c:showVal val="1"/>
            <c:showCatName val="0"/>
            <c:showSerName val="0"/>
            <c:showPercent val="0"/>
            <c:showBubbleSize val="0"/>
            <c:showLeaderLines val="0"/>
          </c:dLbls>
          <c:cat>
            <c:strRef>
              <c:f>Location!$CF$439:$CK$439</c:f>
              <c:strCache>
                <c:ptCount val="6"/>
                <c:pt idx="0">
                  <c:v>Insufficient quantity</c:v>
                </c:pt>
                <c:pt idx="1">
                  <c:v>Rainwater Prefered</c:v>
                </c:pt>
                <c:pt idx="2">
                  <c:v>Poor Water Quality</c:v>
                </c:pt>
                <c:pt idx="3">
                  <c:v>Change in the taste</c:v>
                </c:pt>
                <c:pt idx="4">
                  <c:v>Handpump Breaks Down</c:v>
                </c:pt>
                <c:pt idx="5">
                  <c:v>OTHER</c:v>
                </c:pt>
              </c:strCache>
            </c:strRef>
          </c:cat>
          <c:val>
            <c:numRef>
              <c:f>Location!$CF$441:$CK$441</c:f>
              <c:numCache>
                <c:formatCode>0%</c:formatCode>
                <c:ptCount val="6"/>
                <c:pt idx="0">
                  <c:v>0.100961538461538</c:v>
                </c:pt>
                <c:pt idx="1">
                  <c:v>0.00961538461538461</c:v>
                </c:pt>
                <c:pt idx="2">
                  <c:v>0.0721153846153846</c:v>
                </c:pt>
                <c:pt idx="3">
                  <c:v>0.0673076923076923</c:v>
                </c:pt>
                <c:pt idx="4">
                  <c:v>0.0865384615384615</c:v>
                </c:pt>
                <c:pt idx="5">
                  <c:v>0.0384615384615385</c:v>
                </c:pt>
              </c:numCache>
            </c:numRef>
          </c:val>
        </c:ser>
        <c:dLbls>
          <c:showLegendKey val="0"/>
          <c:showVal val="0"/>
          <c:showCatName val="0"/>
          <c:showSerName val="0"/>
          <c:showPercent val="0"/>
          <c:showBubbleSize val="0"/>
        </c:dLbls>
        <c:gapWidth val="150"/>
        <c:axId val="2090276984"/>
        <c:axId val="2090280040"/>
      </c:barChart>
      <c:catAx>
        <c:axId val="2090276984"/>
        <c:scaling>
          <c:orientation val="maxMin"/>
        </c:scaling>
        <c:delete val="0"/>
        <c:axPos val="l"/>
        <c:majorTickMark val="none"/>
        <c:minorTickMark val="none"/>
        <c:tickLblPos val="nextTo"/>
        <c:txPr>
          <a:bodyPr/>
          <a:lstStyle/>
          <a:p>
            <a:pPr>
              <a:defRPr sz="900">
                <a:latin typeface="+mj-lt"/>
              </a:defRPr>
            </a:pPr>
            <a:endParaRPr lang="en-US"/>
          </a:p>
        </c:txPr>
        <c:crossAx val="2090280040"/>
        <c:crosses val="autoZero"/>
        <c:auto val="1"/>
        <c:lblAlgn val="ctr"/>
        <c:lblOffset val="100"/>
        <c:noMultiLvlLbl val="0"/>
      </c:catAx>
      <c:valAx>
        <c:axId val="2090280040"/>
        <c:scaling>
          <c:orientation val="minMax"/>
        </c:scaling>
        <c:delete val="0"/>
        <c:axPos val="t"/>
        <c:majorGridlines/>
        <c:numFmt formatCode="0%" sourceLinked="1"/>
        <c:majorTickMark val="none"/>
        <c:minorTickMark val="none"/>
        <c:tickLblPos val="nextTo"/>
        <c:txPr>
          <a:bodyPr/>
          <a:lstStyle/>
          <a:p>
            <a:pPr>
              <a:defRPr sz="800"/>
            </a:pPr>
            <a:endParaRPr lang="en-US"/>
          </a:p>
        </c:txPr>
        <c:crossAx val="2090276984"/>
        <c:crosses val="autoZero"/>
        <c:crossBetween val="between"/>
      </c:valAx>
      <c:spPr>
        <a:ln>
          <a:solidFill>
            <a:schemeClr val="tx1"/>
          </a:solidFill>
        </a:ln>
      </c:spPr>
    </c:plotArea>
    <c:legend>
      <c:legendPos val="t"/>
      <c:layout>
        <c:manualLayout>
          <c:xMode val="edge"/>
          <c:yMode val="edge"/>
          <c:x val="0.642736057786165"/>
          <c:y val="0.0444444444444444"/>
          <c:w val="0.266354851304744"/>
          <c:h val="0.162420895304754"/>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latin typeface="+mj-lt"/>
              </a:defRPr>
            </a:pPr>
            <a:r>
              <a:rPr lang="en-US" sz="1000">
                <a:latin typeface="+mj-lt"/>
              </a:rPr>
              <a:t>Number of different water </a:t>
            </a:r>
          </a:p>
          <a:p>
            <a:pPr algn="l">
              <a:defRPr>
                <a:latin typeface="+mj-lt"/>
              </a:defRPr>
            </a:pPr>
            <a:r>
              <a:rPr lang="en-US" sz="1000">
                <a:latin typeface="+mj-lt"/>
              </a:rPr>
              <a:t>related illnesses reported</a:t>
            </a:r>
          </a:p>
        </c:rich>
      </c:tx>
      <c:layout>
        <c:manualLayout>
          <c:xMode val="edge"/>
          <c:yMode val="edge"/>
          <c:x val="0.0218790463692038"/>
          <c:y val="0.037037037037037"/>
        </c:manualLayout>
      </c:layout>
      <c:overlay val="0"/>
    </c:title>
    <c:autoTitleDeleted val="0"/>
    <c:plotArea>
      <c:layout>
        <c:manualLayout>
          <c:layoutTarget val="inner"/>
          <c:xMode val="edge"/>
          <c:yMode val="edge"/>
          <c:x val="0.117820673535211"/>
          <c:y val="0.268902376786235"/>
          <c:w val="0.828282145701936"/>
          <c:h val="0.622255395158938"/>
        </c:manualLayout>
      </c:layout>
      <c:barChart>
        <c:barDir val="col"/>
        <c:grouping val="clustered"/>
        <c:varyColors val="0"/>
        <c:ser>
          <c:idx val="1"/>
          <c:order val="0"/>
          <c:tx>
            <c:strRef>
              <c:f>Location!$CY$453</c:f>
              <c:strCache>
                <c:ptCount val="1"/>
                <c:pt idx="0">
                  <c:v>IDP Camp</c:v>
                </c:pt>
              </c:strCache>
            </c:strRef>
          </c:tx>
          <c:spPr>
            <a:solidFill>
              <a:srgbClr val="FFFF00"/>
            </a:solidFill>
            <a:ln>
              <a:solidFill>
                <a:schemeClr val="tx1"/>
              </a:solidFill>
            </a:ln>
          </c:spPr>
          <c:invertIfNegative val="0"/>
          <c:dLbls>
            <c:dLbl>
              <c:idx val="0"/>
              <c:layout>
                <c:manualLayout>
                  <c:x val="0.000137198759246003"/>
                  <c:y val="-0.0142091290312849"/>
                </c:manualLayout>
              </c:layout>
              <c:showLegendKey val="0"/>
              <c:showVal val="1"/>
              <c:showCatName val="0"/>
              <c:showSerName val="0"/>
              <c:showPercent val="0"/>
              <c:showBubbleSize val="0"/>
            </c:dLbl>
            <c:dLbl>
              <c:idx val="3"/>
              <c:delete val="1"/>
            </c:dLbl>
            <c:dLbl>
              <c:idx val="4"/>
              <c:delete val="1"/>
            </c:dLbl>
            <c:txPr>
              <a:bodyPr/>
              <a:lstStyle/>
              <a:p>
                <a:pPr>
                  <a:defRPr sz="800" b="1"/>
                </a:pPr>
                <a:endParaRPr lang="en-US"/>
              </a:p>
            </c:txPr>
            <c:showLegendKey val="0"/>
            <c:showVal val="1"/>
            <c:showCatName val="0"/>
            <c:showSerName val="0"/>
            <c:showPercent val="0"/>
            <c:showBubbleSize val="0"/>
            <c:showLeaderLines val="0"/>
          </c:dLbls>
          <c:cat>
            <c:strRef>
              <c:f>Location!$CW$454:$CW$458</c:f>
              <c:strCache>
                <c:ptCount val="5"/>
                <c:pt idx="0">
                  <c:v>1 illness</c:v>
                </c:pt>
                <c:pt idx="1">
                  <c:v>2 illnesses</c:v>
                </c:pt>
                <c:pt idx="2">
                  <c:v>3 illnesses</c:v>
                </c:pt>
                <c:pt idx="3">
                  <c:v>4 illnesses</c:v>
                </c:pt>
                <c:pt idx="4">
                  <c:v>5 illnesses</c:v>
                </c:pt>
              </c:strCache>
            </c:strRef>
          </c:cat>
          <c:val>
            <c:numRef>
              <c:f>Location!$CY$454:$CY$458</c:f>
              <c:numCache>
                <c:formatCode>0%</c:formatCode>
                <c:ptCount val="5"/>
                <c:pt idx="0">
                  <c:v>0.436363636363636</c:v>
                </c:pt>
                <c:pt idx="1">
                  <c:v>0.331818181818182</c:v>
                </c:pt>
                <c:pt idx="2">
                  <c:v>0.15</c:v>
                </c:pt>
                <c:pt idx="3">
                  <c:v>0.0227272727272727</c:v>
                </c:pt>
                <c:pt idx="4">
                  <c:v>0.0136363636363636</c:v>
                </c:pt>
              </c:numCache>
            </c:numRef>
          </c:val>
        </c:ser>
        <c:ser>
          <c:idx val="2"/>
          <c:order val="1"/>
          <c:tx>
            <c:strRef>
              <c:f>Location!$CZ$453</c:f>
              <c:strCache>
                <c:ptCount val="1"/>
                <c:pt idx="0">
                  <c:v>Village</c:v>
                </c:pt>
              </c:strCache>
            </c:strRef>
          </c:tx>
          <c:spPr>
            <a:solidFill>
              <a:schemeClr val="tx2"/>
            </a:solidFill>
            <a:ln>
              <a:solidFill>
                <a:schemeClr val="tx1"/>
              </a:solidFill>
            </a:ln>
          </c:spPr>
          <c:invertIfNegative val="0"/>
          <c:dLbls>
            <c:dLbl>
              <c:idx val="0"/>
              <c:layout>
                <c:manualLayout>
                  <c:x val="0.0404040404040404"/>
                  <c:y val="-0.0415072253899297"/>
                </c:manualLayout>
              </c:layout>
              <c:showLegendKey val="0"/>
              <c:showVal val="1"/>
              <c:showCatName val="0"/>
              <c:showSerName val="0"/>
              <c:showPercent val="0"/>
              <c:showBubbleSize val="0"/>
            </c:dLbl>
            <c:dLbl>
              <c:idx val="1"/>
              <c:layout>
                <c:manualLayout>
                  <c:x val="0.0321027287319422"/>
                  <c:y val="-8.48755627201352E-17"/>
                </c:manualLayout>
              </c:layout>
              <c:showLegendKey val="0"/>
              <c:showVal val="1"/>
              <c:showCatName val="0"/>
              <c:showSerName val="0"/>
              <c:showPercent val="0"/>
              <c:showBubbleSize val="0"/>
            </c:dLbl>
            <c:dLbl>
              <c:idx val="2"/>
              <c:layout>
                <c:manualLayout>
                  <c:x val="0.0664185158673348"/>
                  <c:y val="-0.000638670166229221"/>
                </c:manualLayout>
              </c:layout>
              <c:showLegendKey val="0"/>
              <c:showVal val="1"/>
              <c:showCatName val="0"/>
              <c:showSerName val="0"/>
              <c:showPercent val="0"/>
              <c:showBubbleSize val="0"/>
            </c:dLbl>
            <c:dLbl>
              <c:idx val="3"/>
              <c:delete val="1"/>
            </c:dLbl>
            <c:dLbl>
              <c:idx val="4"/>
              <c:delete val="1"/>
            </c:dLbl>
            <c:txPr>
              <a:bodyPr/>
              <a:lstStyle/>
              <a:p>
                <a:pPr>
                  <a:defRPr sz="800"/>
                </a:pPr>
                <a:endParaRPr lang="en-US"/>
              </a:p>
            </c:txPr>
            <c:showLegendKey val="0"/>
            <c:showVal val="1"/>
            <c:showCatName val="0"/>
            <c:showSerName val="0"/>
            <c:showPercent val="0"/>
            <c:showBubbleSize val="0"/>
            <c:showLeaderLines val="0"/>
          </c:dLbls>
          <c:cat>
            <c:strRef>
              <c:f>Location!$CW$454:$CW$458</c:f>
              <c:strCache>
                <c:ptCount val="5"/>
                <c:pt idx="0">
                  <c:v>1 illness</c:v>
                </c:pt>
                <c:pt idx="1">
                  <c:v>2 illnesses</c:v>
                </c:pt>
                <c:pt idx="2">
                  <c:v>3 illnesses</c:v>
                </c:pt>
                <c:pt idx="3">
                  <c:v>4 illnesses</c:v>
                </c:pt>
                <c:pt idx="4">
                  <c:v>5 illnesses</c:v>
                </c:pt>
              </c:strCache>
            </c:strRef>
          </c:cat>
          <c:val>
            <c:numRef>
              <c:f>Location!$CZ$454:$CZ$458</c:f>
              <c:numCache>
                <c:formatCode>0%</c:formatCode>
                <c:ptCount val="5"/>
                <c:pt idx="0">
                  <c:v>0.466346153846154</c:v>
                </c:pt>
                <c:pt idx="1">
                  <c:v>0.288461538461538</c:v>
                </c:pt>
                <c:pt idx="2">
                  <c:v>0.139423076923077</c:v>
                </c:pt>
                <c:pt idx="3">
                  <c:v>0.0192307692307692</c:v>
                </c:pt>
                <c:pt idx="4">
                  <c:v>0.0192307692307692</c:v>
                </c:pt>
              </c:numCache>
            </c:numRef>
          </c:val>
        </c:ser>
        <c:dLbls>
          <c:showLegendKey val="0"/>
          <c:showVal val="0"/>
          <c:showCatName val="0"/>
          <c:showSerName val="0"/>
          <c:showPercent val="0"/>
          <c:showBubbleSize val="0"/>
        </c:dLbls>
        <c:gapWidth val="150"/>
        <c:axId val="2090259816"/>
        <c:axId val="2090258824"/>
      </c:barChart>
      <c:catAx>
        <c:axId val="2090259816"/>
        <c:scaling>
          <c:orientation val="minMax"/>
        </c:scaling>
        <c:delete val="0"/>
        <c:axPos val="b"/>
        <c:majorTickMark val="none"/>
        <c:minorTickMark val="none"/>
        <c:tickLblPos val="nextTo"/>
        <c:txPr>
          <a:bodyPr/>
          <a:lstStyle/>
          <a:p>
            <a:pPr>
              <a:defRPr sz="800"/>
            </a:pPr>
            <a:endParaRPr lang="en-US"/>
          </a:p>
        </c:txPr>
        <c:crossAx val="2090258824"/>
        <c:crosses val="autoZero"/>
        <c:auto val="1"/>
        <c:lblAlgn val="ctr"/>
        <c:lblOffset val="100"/>
        <c:noMultiLvlLbl val="0"/>
      </c:catAx>
      <c:valAx>
        <c:axId val="2090258824"/>
        <c:scaling>
          <c:orientation val="minMax"/>
          <c:max val="0.5"/>
        </c:scaling>
        <c:delete val="0"/>
        <c:axPos val="l"/>
        <c:majorGridlines/>
        <c:numFmt formatCode="0%" sourceLinked="1"/>
        <c:majorTickMark val="none"/>
        <c:minorTickMark val="none"/>
        <c:tickLblPos val="nextTo"/>
        <c:txPr>
          <a:bodyPr/>
          <a:lstStyle/>
          <a:p>
            <a:pPr>
              <a:defRPr sz="800"/>
            </a:pPr>
            <a:endParaRPr lang="en-US"/>
          </a:p>
        </c:txPr>
        <c:crossAx val="2090259816"/>
        <c:crosses val="autoZero"/>
        <c:crossBetween val="between"/>
        <c:majorUnit val="0.1"/>
      </c:valAx>
      <c:spPr>
        <a:ln>
          <a:solidFill>
            <a:schemeClr val="tx1"/>
          </a:solidFill>
        </a:ln>
      </c:spPr>
    </c:plotArea>
    <c:legend>
      <c:legendPos val="t"/>
      <c:layout>
        <c:manualLayout>
          <c:xMode val="edge"/>
          <c:yMode val="edge"/>
          <c:x val="0.653814726810834"/>
          <c:y val="0.0325670498084291"/>
          <c:w val="0.340329674699753"/>
          <c:h val="0.138634265544393"/>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Illnesses from Water</a:t>
            </a:r>
          </a:p>
        </c:rich>
      </c:tx>
      <c:layout>
        <c:manualLayout>
          <c:xMode val="edge"/>
          <c:yMode val="edge"/>
          <c:x val="0.0574400699912511"/>
          <c:y val="0.0436046511627907"/>
        </c:manualLayout>
      </c:layout>
      <c:overlay val="0"/>
    </c:title>
    <c:autoTitleDeleted val="0"/>
    <c:plotArea>
      <c:layout/>
      <c:barChart>
        <c:barDir val="bar"/>
        <c:grouping val="clustered"/>
        <c:varyColors val="0"/>
        <c:ser>
          <c:idx val="0"/>
          <c:order val="0"/>
          <c:tx>
            <c:strRef>
              <c:f>Location!$CM$440</c:f>
              <c:strCache>
                <c:ptCount val="1"/>
                <c:pt idx="0">
                  <c:v>IDP Camp</c:v>
                </c:pt>
              </c:strCache>
            </c:strRef>
          </c:tx>
          <c:spPr>
            <a:solidFill>
              <a:srgbClr val="FFFF00"/>
            </a:solidFill>
            <a:ln>
              <a:solidFill>
                <a:schemeClr val="tx1"/>
              </a:solidFill>
            </a:ln>
          </c:spPr>
          <c:invertIfNegative val="0"/>
          <c:dLbls>
            <c:txPr>
              <a:bodyPr/>
              <a:lstStyle/>
              <a:p>
                <a:pPr>
                  <a:defRPr sz="800" b="1"/>
                </a:pPr>
                <a:endParaRPr lang="en-US"/>
              </a:p>
            </c:txPr>
            <c:showLegendKey val="0"/>
            <c:showVal val="1"/>
            <c:showCatName val="0"/>
            <c:showSerName val="0"/>
            <c:showPercent val="0"/>
            <c:showBubbleSize val="0"/>
            <c:showLeaderLines val="0"/>
          </c:dLbls>
          <c:cat>
            <c:strRef>
              <c:f>Location!$CN$439:$CV$439</c:f>
              <c:strCache>
                <c:ptCount val="9"/>
                <c:pt idx="0">
                  <c:v>Diarrhoea</c:v>
                </c:pt>
                <c:pt idx="1">
                  <c:v>Vommitting/Stomach Ache</c:v>
                </c:pt>
                <c:pt idx="2">
                  <c:v>Worms</c:v>
                </c:pt>
                <c:pt idx="3">
                  <c:v>Fever</c:v>
                </c:pt>
                <c:pt idx="4">
                  <c:v>Malaria / Dengue</c:v>
                </c:pt>
                <c:pt idx="5">
                  <c:v>Skin disease</c:v>
                </c:pt>
                <c:pt idx="6">
                  <c:v>Eye infection</c:v>
                </c:pt>
                <c:pt idx="7">
                  <c:v>Miscarriage</c:v>
                </c:pt>
                <c:pt idx="8">
                  <c:v>OTHER</c:v>
                </c:pt>
              </c:strCache>
            </c:strRef>
          </c:cat>
          <c:val>
            <c:numRef>
              <c:f>Location!$CN$440:$CV$440</c:f>
              <c:numCache>
                <c:formatCode>0%</c:formatCode>
                <c:ptCount val="9"/>
                <c:pt idx="0">
                  <c:v>0.881818181818182</c:v>
                </c:pt>
                <c:pt idx="1">
                  <c:v>0.168181818181818</c:v>
                </c:pt>
                <c:pt idx="2">
                  <c:v>0.172727272727273</c:v>
                </c:pt>
                <c:pt idx="3">
                  <c:v>0.163636363636364</c:v>
                </c:pt>
                <c:pt idx="4">
                  <c:v>0.163636363636364</c:v>
                </c:pt>
                <c:pt idx="5">
                  <c:v>0.122727272727273</c:v>
                </c:pt>
                <c:pt idx="6">
                  <c:v>0.05</c:v>
                </c:pt>
                <c:pt idx="7">
                  <c:v>0.0136363636363636</c:v>
                </c:pt>
                <c:pt idx="8">
                  <c:v>0.0318181818181818</c:v>
                </c:pt>
              </c:numCache>
            </c:numRef>
          </c:val>
        </c:ser>
        <c:ser>
          <c:idx val="1"/>
          <c:order val="1"/>
          <c:tx>
            <c:strRef>
              <c:f>Location!$CM$441</c:f>
              <c:strCache>
                <c:ptCount val="1"/>
                <c:pt idx="0">
                  <c:v>Village</c:v>
                </c:pt>
              </c:strCache>
            </c:strRef>
          </c:tx>
          <c:spPr>
            <a:solidFill>
              <a:schemeClr val="tx2"/>
            </a:solidFill>
            <a:ln>
              <a:solidFill>
                <a:schemeClr val="tx1"/>
              </a:solidFill>
            </a:ln>
          </c:spPr>
          <c:invertIfNegative val="0"/>
          <c:cat>
            <c:strRef>
              <c:f>Location!$CN$439:$CV$439</c:f>
              <c:strCache>
                <c:ptCount val="9"/>
                <c:pt idx="0">
                  <c:v>Diarrhoea</c:v>
                </c:pt>
                <c:pt idx="1">
                  <c:v>Vommitting/Stomach Ache</c:v>
                </c:pt>
                <c:pt idx="2">
                  <c:v>Worms</c:v>
                </c:pt>
                <c:pt idx="3">
                  <c:v>Fever</c:v>
                </c:pt>
                <c:pt idx="4">
                  <c:v>Malaria / Dengue</c:v>
                </c:pt>
                <c:pt idx="5">
                  <c:v>Skin disease</c:v>
                </c:pt>
                <c:pt idx="6">
                  <c:v>Eye infection</c:v>
                </c:pt>
                <c:pt idx="7">
                  <c:v>Miscarriage</c:v>
                </c:pt>
                <c:pt idx="8">
                  <c:v>OTHER</c:v>
                </c:pt>
              </c:strCache>
            </c:strRef>
          </c:cat>
          <c:val>
            <c:numRef>
              <c:f>Location!$CN$441:$CV$441</c:f>
              <c:numCache>
                <c:formatCode>0%</c:formatCode>
                <c:ptCount val="9"/>
                <c:pt idx="0">
                  <c:v>0.778846153846154</c:v>
                </c:pt>
                <c:pt idx="1">
                  <c:v>0.168269230769231</c:v>
                </c:pt>
                <c:pt idx="2">
                  <c:v>0.163461538461538</c:v>
                </c:pt>
                <c:pt idx="3">
                  <c:v>0.168269230769231</c:v>
                </c:pt>
                <c:pt idx="4">
                  <c:v>0.134615384615385</c:v>
                </c:pt>
                <c:pt idx="5">
                  <c:v>0.110576923076923</c:v>
                </c:pt>
                <c:pt idx="6">
                  <c:v>0.0769230769230769</c:v>
                </c:pt>
                <c:pt idx="7">
                  <c:v>0.0240384615384615</c:v>
                </c:pt>
                <c:pt idx="8">
                  <c:v>0.0144230769230769</c:v>
                </c:pt>
              </c:numCache>
            </c:numRef>
          </c:val>
        </c:ser>
        <c:dLbls>
          <c:showLegendKey val="0"/>
          <c:showVal val="0"/>
          <c:showCatName val="0"/>
          <c:showSerName val="0"/>
          <c:showPercent val="0"/>
          <c:showBubbleSize val="0"/>
        </c:dLbls>
        <c:gapWidth val="50"/>
        <c:axId val="2089051464"/>
        <c:axId val="2089335000"/>
      </c:barChart>
      <c:catAx>
        <c:axId val="2089051464"/>
        <c:scaling>
          <c:orientation val="maxMin"/>
        </c:scaling>
        <c:delete val="0"/>
        <c:axPos val="l"/>
        <c:majorTickMark val="none"/>
        <c:minorTickMark val="none"/>
        <c:tickLblPos val="nextTo"/>
        <c:txPr>
          <a:bodyPr/>
          <a:lstStyle/>
          <a:p>
            <a:pPr>
              <a:defRPr sz="900">
                <a:latin typeface="+mj-lt"/>
              </a:defRPr>
            </a:pPr>
            <a:endParaRPr lang="en-US"/>
          </a:p>
        </c:txPr>
        <c:crossAx val="2089335000"/>
        <c:crosses val="autoZero"/>
        <c:auto val="1"/>
        <c:lblAlgn val="ctr"/>
        <c:lblOffset val="100"/>
        <c:noMultiLvlLbl val="0"/>
      </c:catAx>
      <c:valAx>
        <c:axId val="2089335000"/>
        <c:scaling>
          <c:orientation val="minMax"/>
        </c:scaling>
        <c:delete val="0"/>
        <c:axPos val="t"/>
        <c:majorGridlines/>
        <c:numFmt formatCode="0%" sourceLinked="1"/>
        <c:majorTickMark val="none"/>
        <c:minorTickMark val="none"/>
        <c:tickLblPos val="nextTo"/>
        <c:txPr>
          <a:bodyPr/>
          <a:lstStyle/>
          <a:p>
            <a:pPr>
              <a:defRPr sz="800"/>
            </a:pPr>
            <a:endParaRPr lang="en-US"/>
          </a:p>
        </c:txPr>
        <c:crossAx val="2089051464"/>
        <c:crosses val="autoZero"/>
        <c:crossBetween val="between"/>
      </c:valAx>
      <c:spPr>
        <a:ln>
          <a:solidFill>
            <a:schemeClr val="tx1"/>
          </a:solidFill>
        </a:ln>
      </c:spPr>
    </c:plotArea>
    <c:legend>
      <c:legendPos val="t"/>
      <c:layout>
        <c:manualLayout>
          <c:xMode val="edge"/>
          <c:yMode val="edge"/>
          <c:x val="0.563968236429826"/>
          <c:y val="0.0399709302325581"/>
          <c:w val="0.303092324870026"/>
          <c:h val="0.127481516663615"/>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Knowledge</a:t>
            </a:r>
            <a:r>
              <a:rPr lang="en-US" sz="1000" baseline="0">
                <a:latin typeface="+mj-lt"/>
              </a:rPr>
              <a:t> of Causes of Diarrhoea</a:t>
            </a:r>
            <a:endParaRPr lang="en-US" sz="1000">
              <a:latin typeface="+mj-lt"/>
            </a:endParaRPr>
          </a:p>
        </c:rich>
      </c:tx>
      <c:layout>
        <c:manualLayout>
          <c:xMode val="edge"/>
          <c:yMode val="edge"/>
          <c:x val="0.00170151466413057"/>
          <c:y val="0.0194106979283289"/>
        </c:manualLayout>
      </c:layout>
      <c:overlay val="0"/>
    </c:title>
    <c:autoTitleDeleted val="0"/>
    <c:plotArea>
      <c:layout>
        <c:manualLayout>
          <c:layoutTarget val="inner"/>
          <c:xMode val="edge"/>
          <c:yMode val="edge"/>
          <c:x val="0.32201163017167"/>
          <c:y val="0.227235710119568"/>
          <c:w val="0.619816922178014"/>
          <c:h val="0.722442618424025"/>
        </c:manualLayout>
      </c:layout>
      <c:barChart>
        <c:barDir val="bar"/>
        <c:grouping val="clustered"/>
        <c:varyColors val="0"/>
        <c:ser>
          <c:idx val="1"/>
          <c:order val="0"/>
          <c:tx>
            <c:strRef>
              <c:f>Location!$AX$467</c:f>
              <c:strCache>
                <c:ptCount val="1"/>
                <c:pt idx="0">
                  <c:v>IDP Camp</c:v>
                </c:pt>
              </c:strCache>
            </c:strRef>
          </c:tx>
          <c:spPr>
            <a:solidFill>
              <a:srgbClr val="FFFF00"/>
            </a:solidFill>
            <a:ln>
              <a:solidFill>
                <a:schemeClr val="tx1"/>
              </a:solidFill>
            </a:ln>
          </c:spPr>
          <c:invertIfNegative val="0"/>
          <c:dLbls>
            <c:txPr>
              <a:bodyPr/>
              <a:lstStyle/>
              <a:p>
                <a:pPr>
                  <a:defRPr sz="800" b="1"/>
                </a:pPr>
                <a:endParaRPr lang="en-US"/>
              </a:p>
            </c:txPr>
            <c:showLegendKey val="0"/>
            <c:showVal val="1"/>
            <c:showCatName val="0"/>
            <c:showSerName val="0"/>
            <c:showPercent val="0"/>
            <c:showBubbleSize val="0"/>
            <c:showLeaderLines val="0"/>
          </c:dLbls>
          <c:cat>
            <c:strRef>
              <c:f>Location!$AV$468:$AV$471</c:f>
              <c:strCache>
                <c:ptCount val="4"/>
                <c:pt idx="0">
                  <c:v>I cause</c:v>
                </c:pt>
                <c:pt idx="1">
                  <c:v>2 causes</c:v>
                </c:pt>
                <c:pt idx="2">
                  <c:v>3 causes</c:v>
                </c:pt>
                <c:pt idx="3">
                  <c:v>More than _x000d_3 causes</c:v>
                </c:pt>
              </c:strCache>
            </c:strRef>
          </c:cat>
          <c:val>
            <c:numRef>
              <c:f>Location!$AX$468:$AX$471</c:f>
              <c:numCache>
                <c:formatCode>0%</c:formatCode>
                <c:ptCount val="4"/>
                <c:pt idx="0">
                  <c:v>0.977272727272727</c:v>
                </c:pt>
                <c:pt idx="1">
                  <c:v>0.431818181818182</c:v>
                </c:pt>
                <c:pt idx="2">
                  <c:v>0.104545454545455</c:v>
                </c:pt>
                <c:pt idx="3">
                  <c:v>0.0272727272727273</c:v>
                </c:pt>
              </c:numCache>
            </c:numRef>
          </c:val>
        </c:ser>
        <c:ser>
          <c:idx val="2"/>
          <c:order val="1"/>
          <c:tx>
            <c:strRef>
              <c:f>Location!$AY$467</c:f>
              <c:strCache>
                <c:ptCount val="1"/>
                <c:pt idx="0">
                  <c:v>Village</c:v>
                </c:pt>
              </c:strCache>
            </c:strRef>
          </c:tx>
          <c:spPr>
            <a:solidFill>
              <a:schemeClr val="tx2"/>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Location!$AV$468:$AV$471</c:f>
              <c:strCache>
                <c:ptCount val="4"/>
                <c:pt idx="0">
                  <c:v>I cause</c:v>
                </c:pt>
                <c:pt idx="1">
                  <c:v>2 causes</c:v>
                </c:pt>
                <c:pt idx="2">
                  <c:v>3 causes</c:v>
                </c:pt>
                <c:pt idx="3">
                  <c:v>More than _x000d_3 causes</c:v>
                </c:pt>
              </c:strCache>
            </c:strRef>
          </c:cat>
          <c:val>
            <c:numRef>
              <c:f>Location!$AY$468:$AY$471</c:f>
              <c:numCache>
                <c:formatCode>0%</c:formatCode>
                <c:ptCount val="4"/>
                <c:pt idx="0">
                  <c:v>0.932692307692308</c:v>
                </c:pt>
                <c:pt idx="1">
                  <c:v>0.427884615384615</c:v>
                </c:pt>
                <c:pt idx="2">
                  <c:v>0.0961538461538461</c:v>
                </c:pt>
                <c:pt idx="3">
                  <c:v>0.0288461538461538</c:v>
                </c:pt>
              </c:numCache>
            </c:numRef>
          </c:val>
        </c:ser>
        <c:dLbls>
          <c:showLegendKey val="0"/>
          <c:showVal val="0"/>
          <c:showCatName val="0"/>
          <c:showSerName val="0"/>
          <c:showPercent val="0"/>
          <c:showBubbleSize val="0"/>
        </c:dLbls>
        <c:gapWidth val="150"/>
        <c:axId val="2090753208"/>
        <c:axId val="2090756216"/>
      </c:barChart>
      <c:catAx>
        <c:axId val="2090753208"/>
        <c:scaling>
          <c:orientation val="maxMin"/>
        </c:scaling>
        <c:delete val="0"/>
        <c:axPos val="l"/>
        <c:majorTickMark val="none"/>
        <c:minorTickMark val="none"/>
        <c:tickLblPos val="nextTo"/>
        <c:txPr>
          <a:bodyPr/>
          <a:lstStyle/>
          <a:p>
            <a:pPr>
              <a:defRPr sz="900"/>
            </a:pPr>
            <a:endParaRPr lang="en-US"/>
          </a:p>
        </c:txPr>
        <c:crossAx val="2090756216"/>
        <c:crosses val="autoZero"/>
        <c:auto val="1"/>
        <c:lblAlgn val="ctr"/>
        <c:lblOffset val="100"/>
        <c:noMultiLvlLbl val="0"/>
      </c:catAx>
      <c:valAx>
        <c:axId val="2090756216"/>
        <c:scaling>
          <c:orientation val="minMax"/>
          <c:max val="1.0"/>
        </c:scaling>
        <c:delete val="0"/>
        <c:axPos val="t"/>
        <c:majorGridlines/>
        <c:numFmt formatCode="0%" sourceLinked="1"/>
        <c:majorTickMark val="none"/>
        <c:minorTickMark val="none"/>
        <c:tickLblPos val="nextTo"/>
        <c:txPr>
          <a:bodyPr/>
          <a:lstStyle/>
          <a:p>
            <a:pPr>
              <a:defRPr sz="800"/>
            </a:pPr>
            <a:endParaRPr lang="en-US"/>
          </a:p>
        </c:txPr>
        <c:crossAx val="2090753208"/>
        <c:crosses val="autoZero"/>
        <c:crossBetween val="between"/>
        <c:majorUnit val="0.2"/>
        <c:minorUnit val="0.05"/>
      </c:valAx>
      <c:spPr>
        <a:ln>
          <a:solidFill>
            <a:schemeClr val="tx1"/>
          </a:solidFill>
        </a:ln>
      </c:spPr>
    </c:plotArea>
    <c:legend>
      <c:legendPos val="t"/>
      <c:layout>
        <c:manualLayout>
          <c:xMode val="edge"/>
          <c:yMode val="edge"/>
          <c:x val="0.602596327324093"/>
          <c:y val="0.0277777777777778"/>
          <c:w val="0.356015999776227"/>
          <c:h val="0.0950295350034688"/>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0569885260489699"/>
          <c:y val="0.234998177311169"/>
          <c:w val="0.876551882213353"/>
          <c:h val="0.704816637503645"/>
        </c:manualLayout>
      </c:layout>
      <c:barChart>
        <c:barDir val="bar"/>
        <c:grouping val="clustered"/>
        <c:varyColors val="0"/>
        <c:ser>
          <c:idx val="1"/>
          <c:order val="0"/>
          <c:tx>
            <c:strRef>
              <c:f>'[working KAP Database (Sat 16th).xlsx]Location'!$AU$442</c:f>
              <c:strCache>
                <c:ptCount val="1"/>
                <c:pt idx="0">
                  <c:v>IDP Camp</c:v>
                </c:pt>
              </c:strCache>
            </c:strRef>
          </c:tx>
          <c:spPr>
            <a:solidFill>
              <a:srgbClr val="FFFF00"/>
            </a:solidFill>
            <a:ln>
              <a:solidFill>
                <a:schemeClr val="tx1"/>
              </a:solidFill>
            </a:ln>
          </c:spPr>
          <c:invertIfNegative val="0"/>
          <c:cat>
            <c:strRef>
              <c:f>'[working KAP Database (Sat 16th).xlsx]Location'!$AV$440:$BD$440</c:f>
              <c:strCache>
                <c:ptCount val="9"/>
                <c:pt idx="0">
                  <c:v>Don't Know</c:v>
                </c:pt>
                <c:pt idx="1">
                  <c:v>Dirty Food</c:v>
                </c:pt>
                <c:pt idx="2">
                  <c:v>Dirty/Unclean Water</c:v>
                </c:pt>
                <c:pt idx="3">
                  <c:v>Dirty Hands</c:v>
                </c:pt>
                <c:pt idx="4">
                  <c:v>Flies or other Vectors</c:v>
                </c:pt>
                <c:pt idx="5">
                  <c:v>Dirty Environment</c:v>
                </c:pt>
                <c:pt idx="6">
                  <c:v>Uncovered Food</c:v>
                </c:pt>
                <c:pt idx="7">
                  <c:v>Hot weather</c:v>
                </c:pt>
                <c:pt idx="8">
                  <c:v>Other</c:v>
                </c:pt>
              </c:strCache>
            </c:strRef>
          </c:cat>
          <c:val>
            <c:numRef>
              <c:f>'[working KAP Database (Sat 16th).xlsx]Location'!$AV$442:$BD$442</c:f>
              <c:numCache>
                <c:formatCode>0%</c:formatCode>
                <c:ptCount val="9"/>
                <c:pt idx="0">
                  <c:v>0.00454545454545454</c:v>
                </c:pt>
                <c:pt idx="1">
                  <c:v>0.536363636363636</c:v>
                </c:pt>
                <c:pt idx="2">
                  <c:v>0.477272727272727</c:v>
                </c:pt>
                <c:pt idx="3">
                  <c:v>0.3</c:v>
                </c:pt>
                <c:pt idx="4">
                  <c:v>0.0954545454545454</c:v>
                </c:pt>
                <c:pt idx="5">
                  <c:v>0.0863636363636363</c:v>
                </c:pt>
                <c:pt idx="6">
                  <c:v>0.0545454545454545</c:v>
                </c:pt>
                <c:pt idx="7">
                  <c:v>0.0636363636363636</c:v>
                </c:pt>
                <c:pt idx="8">
                  <c:v>0.0136363636363636</c:v>
                </c:pt>
              </c:numCache>
            </c:numRef>
          </c:val>
        </c:ser>
        <c:ser>
          <c:idx val="2"/>
          <c:order val="1"/>
          <c:tx>
            <c:strRef>
              <c:f>'[working KAP Database (Sat 16th).xlsx]Location'!$AU$443</c:f>
              <c:strCache>
                <c:ptCount val="1"/>
                <c:pt idx="0">
                  <c:v>Village</c:v>
                </c:pt>
              </c:strCache>
            </c:strRef>
          </c:tx>
          <c:spPr>
            <a:solidFill>
              <a:schemeClr val="tx2"/>
            </a:solidFill>
            <a:ln>
              <a:solidFill>
                <a:schemeClr val="tx1"/>
              </a:solidFill>
            </a:ln>
          </c:spPr>
          <c:invertIfNegative val="0"/>
          <c:cat>
            <c:strRef>
              <c:f>'[working KAP Database (Sat 16th).xlsx]Location'!$AV$440:$BD$440</c:f>
              <c:strCache>
                <c:ptCount val="9"/>
                <c:pt idx="0">
                  <c:v>Don't Know</c:v>
                </c:pt>
                <c:pt idx="1">
                  <c:v>Dirty Food</c:v>
                </c:pt>
                <c:pt idx="2">
                  <c:v>Dirty/Unclean Water</c:v>
                </c:pt>
                <c:pt idx="3">
                  <c:v>Dirty Hands</c:v>
                </c:pt>
                <c:pt idx="4">
                  <c:v>Flies or other Vectors</c:v>
                </c:pt>
                <c:pt idx="5">
                  <c:v>Dirty Environment</c:v>
                </c:pt>
                <c:pt idx="6">
                  <c:v>Uncovered Food</c:v>
                </c:pt>
                <c:pt idx="7">
                  <c:v>Hot weather</c:v>
                </c:pt>
                <c:pt idx="8">
                  <c:v>Other</c:v>
                </c:pt>
              </c:strCache>
            </c:strRef>
          </c:cat>
          <c:val>
            <c:numRef>
              <c:f>'[working KAP Database (Sat 16th).xlsx]Location'!$AV$443:$BD$443</c:f>
              <c:numCache>
                <c:formatCode>0%</c:formatCode>
                <c:ptCount val="9"/>
                <c:pt idx="0">
                  <c:v>0.0480769230769231</c:v>
                </c:pt>
                <c:pt idx="1">
                  <c:v>0.572115384615385</c:v>
                </c:pt>
                <c:pt idx="2">
                  <c:v>0.447115384615385</c:v>
                </c:pt>
                <c:pt idx="3">
                  <c:v>0.264423076923077</c:v>
                </c:pt>
                <c:pt idx="4">
                  <c:v>0.0625</c:v>
                </c:pt>
                <c:pt idx="5">
                  <c:v>0.0673076923076923</c:v>
                </c:pt>
                <c:pt idx="6">
                  <c:v>0.0721153846153846</c:v>
                </c:pt>
                <c:pt idx="7">
                  <c:v>0.0432692307692308</c:v>
                </c:pt>
                <c:pt idx="8">
                  <c:v>0.00961538461538461</c:v>
                </c:pt>
              </c:numCache>
            </c:numRef>
          </c:val>
        </c:ser>
        <c:dLbls>
          <c:showLegendKey val="0"/>
          <c:showVal val="0"/>
          <c:showCatName val="0"/>
          <c:showSerName val="0"/>
          <c:showPercent val="0"/>
          <c:showBubbleSize val="0"/>
        </c:dLbls>
        <c:gapWidth val="50"/>
        <c:axId val="2100246584"/>
        <c:axId val="2100249528"/>
      </c:barChart>
      <c:catAx>
        <c:axId val="2100246584"/>
        <c:scaling>
          <c:orientation val="maxMin"/>
        </c:scaling>
        <c:delete val="1"/>
        <c:axPos val="l"/>
        <c:majorTickMark val="none"/>
        <c:minorTickMark val="none"/>
        <c:tickLblPos val="nextTo"/>
        <c:crossAx val="2100249528"/>
        <c:crosses val="autoZero"/>
        <c:auto val="1"/>
        <c:lblAlgn val="ctr"/>
        <c:lblOffset val="100"/>
        <c:noMultiLvlLbl val="0"/>
      </c:catAx>
      <c:valAx>
        <c:axId val="2100249528"/>
        <c:scaling>
          <c:orientation val="minMax"/>
          <c:max val="0.6"/>
        </c:scaling>
        <c:delete val="0"/>
        <c:axPos val="t"/>
        <c:majorGridlines/>
        <c:numFmt formatCode="0%" sourceLinked="1"/>
        <c:majorTickMark val="none"/>
        <c:minorTickMark val="none"/>
        <c:tickLblPos val="nextTo"/>
        <c:txPr>
          <a:bodyPr/>
          <a:lstStyle/>
          <a:p>
            <a:pPr>
              <a:defRPr sz="800"/>
            </a:pPr>
            <a:endParaRPr lang="en-US"/>
          </a:p>
        </c:txPr>
        <c:crossAx val="2100246584"/>
        <c:crosses val="autoZero"/>
        <c:crossBetween val="between"/>
      </c:valAx>
      <c:spPr>
        <a:ln>
          <a:solidFill>
            <a:schemeClr val="tx1"/>
          </a:solidFill>
        </a:ln>
      </c:spPr>
    </c:plotArea>
    <c:legend>
      <c:legendPos val="t"/>
      <c:layout>
        <c:manualLayout>
          <c:xMode val="edge"/>
          <c:yMode val="edge"/>
          <c:x val="0.188425601337504"/>
          <c:y val="0.037037037037037"/>
          <c:w val="0.583761527882645"/>
          <c:h val="0.0950294995966743"/>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000">
                <a:latin typeface="+mj-lt"/>
              </a:rPr>
              <a:t>Causes</a:t>
            </a:r>
            <a:r>
              <a:rPr lang="en-US" sz="1000" baseline="0">
                <a:latin typeface="+mj-lt"/>
              </a:rPr>
              <a:t> of Diarrhoea</a:t>
            </a:r>
            <a:endParaRPr lang="en-US" sz="1000">
              <a:latin typeface="+mj-lt"/>
            </a:endParaRPr>
          </a:p>
        </c:rich>
      </c:tx>
      <c:layout/>
      <c:overlay val="0"/>
    </c:title>
    <c:autoTitleDeleted val="0"/>
    <c:plotArea>
      <c:layout/>
      <c:barChart>
        <c:barDir val="bar"/>
        <c:grouping val="clustered"/>
        <c:varyColors val="0"/>
        <c:ser>
          <c:idx val="0"/>
          <c:order val="0"/>
          <c:tx>
            <c:strRef>
              <c:f>[1]Location!$AU$441</c:f>
              <c:strCache>
                <c:ptCount val="1"/>
                <c:pt idx="0">
                  <c:v>TOTAL</c:v>
                </c:pt>
              </c:strCache>
            </c:strRef>
          </c:tx>
          <c:spPr>
            <a:solidFill>
              <a:srgbClr val="008000"/>
            </a:solidFill>
            <a:ln>
              <a:solidFill>
                <a:schemeClr val="tx1"/>
              </a:solidFill>
            </a:ln>
          </c:spPr>
          <c:invertIfNegative val="0"/>
          <c:dPt>
            <c:idx val="0"/>
            <c:invertIfNegative val="0"/>
            <c:bubble3D val="0"/>
            <c:spPr>
              <a:solidFill>
                <a:srgbClr val="FF0000"/>
              </a:solidFill>
              <a:ln>
                <a:solidFill>
                  <a:schemeClr val="tx1"/>
                </a:solidFill>
              </a:ln>
            </c:spPr>
          </c:dPt>
          <c:dLbls>
            <c:txPr>
              <a:bodyPr/>
              <a:lstStyle/>
              <a:p>
                <a:pPr>
                  <a:defRPr sz="800" b="1"/>
                </a:pPr>
                <a:endParaRPr lang="en-US"/>
              </a:p>
            </c:txPr>
            <c:showLegendKey val="0"/>
            <c:showVal val="1"/>
            <c:showCatName val="0"/>
            <c:showSerName val="0"/>
            <c:showPercent val="0"/>
            <c:showBubbleSize val="0"/>
            <c:showLeaderLines val="0"/>
          </c:dLbls>
          <c:cat>
            <c:strRef>
              <c:f>[1]Location!$AV$440:$BD$440</c:f>
              <c:strCache>
                <c:ptCount val="9"/>
                <c:pt idx="0">
                  <c:v>Don't Know</c:v>
                </c:pt>
                <c:pt idx="1">
                  <c:v>Dirty Food</c:v>
                </c:pt>
                <c:pt idx="2">
                  <c:v>Dirty/Unclean Water</c:v>
                </c:pt>
                <c:pt idx="3">
                  <c:v>Dirty Hands</c:v>
                </c:pt>
                <c:pt idx="4">
                  <c:v>Flies or other Vectors</c:v>
                </c:pt>
                <c:pt idx="5">
                  <c:v>Dirty Environment</c:v>
                </c:pt>
                <c:pt idx="6">
                  <c:v>Uncovered Food</c:v>
                </c:pt>
                <c:pt idx="7">
                  <c:v>Hot weather</c:v>
                </c:pt>
                <c:pt idx="8">
                  <c:v>Other</c:v>
                </c:pt>
              </c:strCache>
            </c:strRef>
          </c:cat>
          <c:val>
            <c:numRef>
              <c:f>[1]Location!$AV$441:$BD$441</c:f>
              <c:numCache>
                <c:formatCode>0%</c:formatCode>
                <c:ptCount val="9"/>
                <c:pt idx="0">
                  <c:v>0.0257009345794392</c:v>
                </c:pt>
                <c:pt idx="1">
                  <c:v>0.553738317757009</c:v>
                </c:pt>
                <c:pt idx="2">
                  <c:v>0.462616822429906</c:v>
                </c:pt>
                <c:pt idx="3">
                  <c:v>0.282710280373832</c:v>
                </c:pt>
                <c:pt idx="4">
                  <c:v>0.0794392523364486</c:v>
                </c:pt>
                <c:pt idx="5">
                  <c:v>0.0771028037383177</c:v>
                </c:pt>
                <c:pt idx="6">
                  <c:v>0.0630841121495327</c:v>
                </c:pt>
                <c:pt idx="7">
                  <c:v>0.0537383177570093</c:v>
                </c:pt>
                <c:pt idx="8">
                  <c:v>0.0116822429906542</c:v>
                </c:pt>
              </c:numCache>
            </c:numRef>
          </c:val>
        </c:ser>
        <c:dLbls>
          <c:showLegendKey val="0"/>
          <c:showVal val="0"/>
          <c:showCatName val="0"/>
          <c:showSerName val="0"/>
          <c:showPercent val="0"/>
          <c:showBubbleSize val="0"/>
        </c:dLbls>
        <c:gapWidth val="50"/>
        <c:axId val="2100277608"/>
        <c:axId val="2100280664"/>
      </c:barChart>
      <c:catAx>
        <c:axId val="2100277608"/>
        <c:scaling>
          <c:orientation val="maxMin"/>
        </c:scaling>
        <c:delete val="0"/>
        <c:axPos val="r"/>
        <c:majorTickMark val="out"/>
        <c:minorTickMark val="none"/>
        <c:tickLblPos val="nextTo"/>
        <c:txPr>
          <a:bodyPr/>
          <a:lstStyle/>
          <a:p>
            <a:pPr>
              <a:defRPr sz="900">
                <a:latin typeface="+mj-lt"/>
              </a:defRPr>
            </a:pPr>
            <a:endParaRPr lang="en-US"/>
          </a:p>
        </c:txPr>
        <c:crossAx val="2100280664"/>
        <c:crosses val="autoZero"/>
        <c:auto val="1"/>
        <c:lblAlgn val="ctr"/>
        <c:lblOffset val="100"/>
        <c:noMultiLvlLbl val="0"/>
      </c:catAx>
      <c:valAx>
        <c:axId val="2100280664"/>
        <c:scaling>
          <c:orientation val="maxMin"/>
        </c:scaling>
        <c:delete val="0"/>
        <c:axPos val="t"/>
        <c:majorGridlines/>
        <c:numFmt formatCode="0%" sourceLinked="1"/>
        <c:majorTickMark val="out"/>
        <c:minorTickMark val="none"/>
        <c:tickLblPos val="nextTo"/>
        <c:txPr>
          <a:bodyPr/>
          <a:lstStyle/>
          <a:p>
            <a:pPr>
              <a:defRPr sz="800"/>
            </a:pPr>
            <a:endParaRPr lang="en-US"/>
          </a:p>
        </c:txPr>
        <c:crossAx val="2100277608"/>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latin typeface="+mj-lt"/>
              </a:defRPr>
            </a:pPr>
            <a:r>
              <a:rPr lang="en-US" sz="1000">
                <a:latin typeface="+mj-lt"/>
              </a:rPr>
              <a:t>Health</a:t>
            </a:r>
            <a:r>
              <a:rPr lang="en-US" sz="1000" baseline="0">
                <a:latin typeface="+mj-lt"/>
              </a:rPr>
              <a:t> Seeking Behaviour  for Children with Diarrhoea</a:t>
            </a:r>
            <a:endParaRPr lang="en-US">
              <a:latin typeface="+mj-lt"/>
            </a:endParaRPr>
          </a:p>
        </c:rich>
      </c:tx>
      <c:layout>
        <c:manualLayout>
          <c:xMode val="edge"/>
          <c:yMode val="edge"/>
          <c:x val="0.019672353455818"/>
          <c:y val="0.037037037037037"/>
        </c:manualLayout>
      </c:layout>
      <c:overlay val="0"/>
    </c:title>
    <c:autoTitleDeleted val="0"/>
    <c:plotArea>
      <c:layout/>
      <c:barChart>
        <c:barDir val="bar"/>
        <c:grouping val="clustered"/>
        <c:varyColors val="0"/>
        <c:ser>
          <c:idx val="2"/>
          <c:order val="0"/>
          <c:tx>
            <c:strRef>
              <c:f>Location!$AJ$443</c:f>
              <c:strCache>
                <c:ptCount val="1"/>
                <c:pt idx="0">
                  <c:v>TOTAL</c:v>
                </c:pt>
              </c:strCache>
            </c:strRef>
          </c:tx>
          <c:spPr>
            <a:solidFill>
              <a:srgbClr val="008000"/>
            </a:solidFill>
          </c:spPr>
          <c:invertIfNegative val="0"/>
          <c:dLbls>
            <c:txPr>
              <a:bodyPr/>
              <a:lstStyle/>
              <a:p>
                <a:pPr>
                  <a:defRPr sz="800" b="1"/>
                </a:pPr>
                <a:endParaRPr lang="en-US"/>
              </a:p>
            </c:txPr>
            <c:showLegendKey val="0"/>
            <c:showVal val="1"/>
            <c:showCatName val="0"/>
            <c:showSerName val="0"/>
            <c:showPercent val="0"/>
            <c:showBubbleSize val="0"/>
            <c:showLeaderLines val="0"/>
          </c:dLbls>
          <c:cat>
            <c:strRef>
              <c:f>Location!$AK$440:$AS$440</c:f>
              <c:strCache>
                <c:ptCount val="9"/>
                <c:pt idx="0">
                  <c:v>Give ORS sachet</c:v>
                </c:pt>
                <c:pt idx="1">
                  <c:v>Give homemade ORS </c:v>
                </c:pt>
                <c:pt idx="2">
                  <c:v>Give medicines</c:v>
                </c:pt>
                <c:pt idx="3">
                  <c:v>Go to Clinic</c:v>
                </c:pt>
                <c:pt idx="4">
                  <c:v>Reduce food intake</c:v>
                </c:pt>
                <c:pt idx="5">
                  <c:v>Give coconut water</c:v>
                </c:pt>
                <c:pt idx="6">
                  <c:v>Give Tea</c:v>
                </c:pt>
                <c:pt idx="7">
                  <c:v>Give MORE WATER than usual</c:v>
                </c:pt>
                <c:pt idx="8">
                  <c:v>Baked Banama</c:v>
                </c:pt>
              </c:strCache>
            </c:strRef>
          </c:cat>
          <c:val>
            <c:numRef>
              <c:f>Location!$AK$443:$AS$443</c:f>
              <c:numCache>
                <c:formatCode>0%</c:formatCode>
                <c:ptCount val="9"/>
                <c:pt idx="0">
                  <c:v>0.695754716981132</c:v>
                </c:pt>
                <c:pt idx="1">
                  <c:v>0.207547169811321</c:v>
                </c:pt>
                <c:pt idx="2">
                  <c:v>0.235849056603774</c:v>
                </c:pt>
                <c:pt idx="3">
                  <c:v>0.0330188679245283</c:v>
                </c:pt>
                <c:pt idx="4">
                  <c:v>0.0235849056603774</c:v>
                </c:pt>
                <c:pt idx="5">
                  <c:v>0.0235849056603774</c:v>
                </c:pt>
                <c:pt idx="6">
                  <c:v>0.0188679245283019</c:v>
                </c:pt>
                <c:pt idx="7">
                  <c:v>0.0141509433962264</c:v>
                </c:pt>
                <c:pt idx="8">
                  <c:v>0.00471698113207547</c:v>
                </c:pt>
              </c:numCache>
            </c:numRef>
          </c:val>
        </c:ser>
        <c:dLbls>
          <c:showLegendKey val="0"/>
          <c:showVal val="0"/>
          <c:showCatName val="0"/>
          <c:showSerName val="0"/>
          <c:showPercent val="0"/>
          <c:showBubbleSize val="0"/>
        </c:dLbls>
        <c:gapWidth val="50"/>
        <c:axId val="2091320632"/>
        <c:axId val="2091879288"/>
      </c:barChart>
      <c:catAx>
        <c:axId val="2091320632"/>
        <c:scaling>
          <c:orientation val="maxMin"/>
        </c:scaling>
        <c:delete val="0"/>
        <c:axPos val="l"/>
        <c:majorTickMark val="none"/>
        <c:minorTickMark val="none"/>
        <c:tickLblPos val="nextTo"/>
        <c:txPr>
          <a:bodyPr/>
          <a:lstStyle/>
          <a:p>
            <a:pPr>
              <a:defRPr sz="900">
                <a:latin typeface="+mj-lt"/>
              </a:defRPr>
            </a:pPr>
            <a:endParaRPr lang="en-US"/>
          </a:p>
        </c:txPr>
        <c:crossAx val="2091879288"/>
        <c:crosses val="autoZero"/>
        <c:auto val="1"/>
        <c:lblAlgn val="ctr"/>
        <c:lblOffset val="100"/>
        <c:noMultiLvlLbl val="0"/>
      </c:catAx>
      <c:valAx>
        <c:axId val="2091879288"/>
        <c:scaling>
          <c:orientation val="minMax"/>
        </c:scaling>
        <c:delete val="0"/>
        <c:axPos val="t"/>
        <c:majorGridlines/>
        <c:numFmt formatCode="0%" sourceLinked="0"/>
        <c:majorTickMark val="none"/>
        <c:minorTickMark val="none"/>
        <c:tickLblPos val="nextTo"/>
        <c:txPr>
          <a:bodyPr/>
          <a:lstStyle/>
          <a:p>
            <a:pPr>
              <a:defRPr sz="800"/>
            </a:pPr>
            <a:endParaRPr lang="en-US"/>
          </a:p>
        </c:txPr>
        <c:crossAx val="2091320632"/>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061632035578886"/>
          <c:y val="0.207173738699329"/>
          <c:w val="0.866666666666667"/>
          <c:h val="0.732641076115485"/>
        </c:manualLayout>
      </c:layout>
      <c:barChart>
        <c:barDir val="bar"/>
        <c:grouping val="clustered"/>
        <c:varyColors val="0"/>
        <c:ser>
          <c:idx val="0"/>
          <c:order val="0"/>
          <c:tx>
            <c:strRef>
              <c:f>Location!$BG$486</c:f>
              <c:strCache>
                <c:ptCount val="1"/>
                <c:pt idx="0">
                  <c:v>IDP Camp</c:v>
                </c:pt>
              </c:strCache>
            </c:strRef>
          </c:tx>
          <c:spPr>
            <a:solidFill>
              <a:srgbClr val="FFFF00"/>
            </a:solidFill>
            <a:ln>
              <a:solidFill>
                <a:schemeClr val="tx1"/>
              </a:solidFill>
            </a:ln>
          </c:spPr>
          <c:invertIfNegative val="0"/>
          <c:dLbls>
            <c:txPr>
              <a:bodyPr/>
              <a:lstStyle/>
              <a:p>
                <a:pPr>
                  <a:defRPr sz="800" b="1"/>
                </a:pPr>
                <a:endParaRPr lang="en-US"/>
              </a:p>
            </c:txPr>
            <c:showLegendKey val="0"/>
            <c:showVal val="1"/>
            <c:showCatName val="0"/>
            <c:showSerName val="0"/>
            <c:showPercent val="0"/>
            <c:showBubbleSize val="0"/>
            <c:showLeaderLines val="0"/>
          </c:dLbls>
          <c:cat>
            <c:strRef>
              <c:f>Location!$BH$485:$BL$485</c:f>
              <c:strCache>
                <c:ptCount val="5"/>
                <c:pt idx="0">
                  <c:v>No answer</c:v>
                </c:pt>
                <c:pt idx="1">
                  <c:v>Drinking safe water</c:v>
                </c:pt>
                <c:pt idx="2">
                  <c:v>Eating safe food</c:v>
                </c:pt>
                <c:pt idx="3">
                  <c:v>Hand washing _x000d_with soap or ash</c:v>
                </c:pt>
                <c:pt idx="4">
                  <c:v>Using a latrine</c:v>
                </c:pt>
              </c:strCache>
            </c:strRef>
          </c:cat>
          <c:val>
            <c:numRef>
              <c:f>Location!$BH$486:$BL$486</c:f>
              <c:numCache>
                <c:formatCode>0%</c:formatCode>
                <c:ptCount val="5"/>
                <c:pt idx="0">
                  <c:v>0.0181818181818182</c:v>
                </c:pt>
                <c:pt idx="1">
                  <c:v>0.318181818181818</c:v>
                </c:pt>
                <c:pt idx="2">
                  <c:v>0.245454545454545</c:v>
                </c:pt>
                <c:pt idx="3">
                  <c:v>0.218181818181818</c:v>
                </c:pt>
                <c:pt idx="4">
                  <c:v>0.0318181818181818</c:v>
                </c:pt>
              </c:numCache>
            </c:numRef>
          </c:val>
        </c:ser>
        <c:ser>
          <c:idx val="1"/>
          <c:order val="1"/>
          <c:tx>
            <c:strRef>
              <c:f>Location!$BG$487</c:f>
              <c:strCache>
                <c:ptCount val="1"/>
                <c:pt idx="0">
                  <c:v>Village</c:v>
                </c:pt>
              </c:strCache>
            </c:strRef>
          </c:tx>
          <c:spPr>
            <a:solidFill>
              <a:schemeClr val="tx2"/>
            </a:solidFill>
            <a:ln>
              <a:solidFill>
                <a:schemeClr val="tx1"/>
              </a:solidFill>
            </a:ln>
          </c:spPr>
          <c:invertIfNegative val="0"/>
          <c:dLbls>
            <c:txPr>
              <a:bodyPr/>
              <a:lstStyle/>
              <a:p>
                <a:pPr>
                  <a:defRPr sz="800"/>
                </a:pPr>
                <a:endParaRPr lang="en-US"/>
              </a:p>
            </c:txPr>
            <c:showLegendKey val="0"/>
            <c:showVal val="1"/>
            <c:showCatName val="0"/>
            <c:showSerName val="0"/>
            <c:showPercent val="0"/>
            <c:showBubbleSize val="0"/>
            <c:showLeaderLines val="0"/>
          </c:dLbls>
          <c:cat>
            <c:strRef>
              <c:f>Location!$BH$485:$BL$485</c:f>
              <c:strCache>
                <c:ptCount val="5"/>
                <c:pt idx="0">
                  <c:v>No answer</c:v>
                </c:pt>
                <c:pt idx="1">
                  <c:v>Drinking safe water</c:v>
                </c:pt>
                <c:pt idx="2">
                  <c:v>Eating safe food</c:v>
                </c:pt>
                <c:pt idx="3">
                  <c:v>Hand washing _x000d_with soap or ash</c:v>
                </c:pt>
                <c:pt idx="4">
                  <c:v>Using a latrine</c:v>
                </c:pt>
              </c:strCache>
            </c:strRef>
          </c:cat>
          <c:val>
            <c:numRef>
              <c:f>Location!$BH$487:$BL$487</c:f>
              <c:numCache>
                <c:formatCode>0%</c:formatCode>
                <c:ptCount val="5"/>
                <c:pt idx="0">
                  <c:v>0.0528846153846154</c:v>
                </c:pt>
                <c:pt idx="1">
                  <c:v>0.384615384615385</c:v>
                </c:pt>
                <c:pt idx="2">
                  <c:v>0.225961538461538</c:v>
                </c:pt>
                <c:pt idx="3">
                  <c:v>0.120192307692308</c:v>
                </c:pt>
                <c:pt idx="4">
                  <c:v>0.00961538461538461</c:v>
                </c:pt>
              </c:numCache>
            </c:numRef>
          </c:val>
        </c:ser>
        <c:dLbls>
          <c:showLegendKey val="0"/>
          <c:showVal val="0"/>
          <c:showCatName val="0"/>
          <c:showSerName val="0"/>
          <c:showPercent val="0"/>
          <c:showBubbleSize val="0"/>
        </c:dLbls>
        <c:gapWidth val="50"/>
        <c:axId val="2093925096"/>
        <c:axId val="2093928072"/>
      </c:barChart>
      <c:catAx>
        <c:axId val="2093925096"/>
        <c:scaling>
          <c:orientation val="maxMin"/>
        </c:scaling>
        <c:delete val="1"/>
        <c:axPos val="l"/>
        <c:majorTickMark val="none"/>
        <c:minorTickMark val="none"/>
        <c:tickLblPos val="nextTo"/>
        <c:crossAx val="2093928072"/>
        <c:crosses val="autoZero"/>
        <c:auto val="1"/>
        <c:lblAlgn val="ctr"/>
        <c:lblOffset val="100"/>
        <c:noMultiLvlLbl val="0"/>
      </c:catAx>
      <c:valAx>
        <c:axId val="2093928072"/>
        <c:scaling>
          <c:orientation val="minMax"/>
        </c:scaling>
        <c:delete val="0"/>
        <c:axPos val="t"/>
        <c:majorGridlines/>
        <c:numFmt formatCode="0%" sourceLinked="1"/>
        <c:majorTickMark val="none"/>
        <c:minorTickMark val="none"/>
        <c:tickLblPos val="nextTo"/>
        <c:txPr>
          <a:bodyPr/>
          <a:lstStyle/>
          <a:p>
            <a:pPr>
              <a:defRPr sz="800"/>
            </a:pPr>
            <a:endParaRPr lang="en-US"/>
          </a:p>
        </c:txPr>
        <c:crossAx val="2093925096"/>
        <c:crosses val="autoZero"/>
        <c:crossBetween val="between"/>
      </c:valAx>
      <c:spPr>
        <a:ln>
          <a:solidFill>
            <a:schemeClr val="tx1"/>
          </a:solidFill>
        </a:ln>
      </c:spPr>
    </c:plotArea>
    <c:legend>
      <c:legendPos val="t"/>
      <c:layout>
        <c:manualLayout>
          <c:xMode val="edge"/>
          <c:yMode val="edge"/>
          <c:x val="0.25426946631671"/>
          <c:y val="0.0"/>
          <c:w val="0.491461067366579"/>
          <c:h val="0.0837171916010499"/>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Methods to prevent diarrhoea in the home</a:t>
            </a:r>
          </a:p>
        </c:rich>
      </c:tx>
      <c:layout/>
      <c:overlay val="0"/>
    </c:title>
    <c:autoTitleDeleted val="0"/>
    <c:plotArea>
      <c:layout/>
      <c:barChart>
        <c:barDir val="bar"/>
        <c:grouping val="clustered"/>
        <c:varyColors val="0"/>
        <c:ser>
          <c:idx val="2"/>
          <c:order val="0"/>
          <c:tx>
            <c:strRef>
              <c:f>Location!$BG$488</c:f>
              <c:strCache>
                <c:ptCount val="1"/>
                <c:pt idx="0">
                  <c:v>Total</c:v>
                </c:pt>
              </c:strCache>
            </c:strRef>
          </c:tx>
          <c:spPr>
            <a:solidFill>
              <a:srgbClr val="008000"/>
            </a:solidFill>
            <a:ln>
              <a:solidFill>
                <a:schemeClr val="tx1"/>
              </a:solidFill>
            </a:ln>
          </c:spPr>
          <c:invertIfNegative val="0"/>
          <c:dPt>
            <c:idx val="0"/>
            <c:invertIfNegative val="0"/>
            <c:bubble3D val="0"/>
            <c:spPr>
              <a:solidFill>
                <a:srgbClr val="FF0000"/>
              </a:solidFill>
              <a:ln>
                <a:solidFill>
                  <a:schemeClr val="tx1"/>
                </a:solidFill>
              </a:ln>
            </c:spPr>
          </c:dPt>
          <c:dLbls>
            <c:dLbl>
              <c:idx val="1"/>
              <c:layout>
                <c:manualLayout>
                  <c:x val="-0.0034770514603616"/>
                  <c:y val="0.0138888888888889"/>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Location!$BH$485:$BL$485</c:f>
              <c:strCache>
                <c:ptCount val="5"/>
                <c:pt idx="0">
                  <c:v>No answer</c:v>
                </c:pt>
                <c:pt idx="1">
                  <c:v>Drinking safe water</c:v>
                </c:pt>
                <c:pt idx="2">
                  <c:v>Eating safe food</c:v>
                </c:pt>
                <c:pt idx="3">
                  <c:v>Hand washing _x000d_with soap or ash</c:v>
                </c:pt>
                <c:pt idx="4">
                  <c:v>Using a latrine</c:v>
                </c:pt>
              </c:strCache>
            </c:strRef>
          </c:cat>
          <c:val>
            <c:numRef>
              <c:f>Location!$BH$488:$BL$488</c:f>
              <c:numCache>
                <c:formatCode>0%</c:formatCode>
                <c:ptCount val="5"/>
                <c:pt idx="0">
                  <c:v>0.0350467289719626</c:v>
                </c:pt>
                <c:pt idx="1">
                  <c:v>0.350467289719626</c:v>
                </c:pt>
                <c:pt idx="2">
                  <c:v>0.235981308411215</c:v>
                </c:pt>
                <c:pt idx="3">
                  <c:v>0.170560747663551</c:v>
                </c:pt>
                <c:pt idx="4">
                  <c:v>0.0210280373831776</c:v>
                </c:pt>
              </c:numCache>
            </c:numRef>
          </c:val>
        </c:ser>
        <c:dLbls>
          <c:showLegendKey val="0"/>
          <c:showVal val="0"/>
          <c:showCatName val="0"/>
          <c:showSerName val="0"/>
          <c:showPercent val="0"/>
          <c:showBubbleSize val="0"/>
        </c:dLbls>
        <c:gapWidth val="50"/>
        <c:axId val="2093860440"/>
        <c:axId val="2093847496"/>
      </c:barChart>
      <c:catAx>
        <c:axId val="2093860440"/>
        <c:scaling>
          <c:orientation val="maxMin"/>
        </c:scaling>
        <c:delete val="0"/>
        <c:axPos val="r"/>
        <c:majorTickMark val="none"/>
        <c:minorTickMark val="none"/>
        <c:tickLblPos val="nextTo"/>
        <c:txPr>
          <a:bodyPr/>
          <a:lstStyle/>
          <a:p>
            <a:pPr>
              <a:defRPr sz="900">
                <a:latin typeface="+mj-lt"/>
              </a:defRPr>
            </a:pPr>
            <a:endParaRPr lang="en-US"/>
          </a:p>
        </c:txPr>
        <c:crossAx val="2093847496"/>
        <c:crosses val="autoZero"/>
        <c:auto val="1"/>
        <c:lblAlgn val="ctr"/>
        <c:lblOffset val="100"/>
        <c:noMultiLvlLbl val="0"/>
      </c:catAx>
      <c:valAx>
        <c:axId val="2093847496"/>
        <c:scaling>
          <c:orientation val="maxMin"/>
        </c:scaling>
        <c:delete val="0"/>
        <c:axPos val="t"/>
        <c:majorGridlines/>
        <c:numFmt formatCode="0%" sourceLinked="1"/>
        <c:majorTickMark val="none"/>
        <c:minorTickMark val="none"/>
        <c:tickLblPos val="nextTo"/>
        <c:txPr>
          <a:bodyPr/>
          <a:lstStyle/>
          <a:p>
            <a:pPr>
              <a:defRPr sz="800"/>
            </a:pPr>
            <a:endParaRPr lang="en-US"/>
          </a:p>
        </c:txPr>
        <c:crossAx val="2093860440"/>
        <c:crosses val="autoZero"/>
        <c:crossBetween val="between"/>
        <c:majorUnit val="0.1"/>
      </c:valAx>
      <c:spPr>
        <a:ln>
          <a:solidFill>
            <a:schemeClr val="tx1"/>
          </a:solid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3"/>
          <c:order val="0"/>
          <c:tx>
            <c:strRef>
              <c:f>'KAP Sampling'!$Q$27</c:f>
              <c:strCache>
                <c:ptCount val="1"/>
                <c:pt idx="0">
                  <c:v>£</c:v>
                </c:pt>
              </c:strCache>
            </c:strRef>
          </c:tx>
          <c:spPr>
            <a:noFill/>
          </c:spPr>
          <c:dPt>
            <c:idx val="0"/>
            <c:bubble3D val="0"/>
            <c:spPr>
              <a:solidFill>
                <a:srgbClr val="CCFFCC"/>
              </a:solidFill>
              <a:ln>
                <a:solidFill>
                  <a:schemeClr val="tx1"/>
                </a:solidFill>
              </a:ln>
            </c:spPr>
          </c:dPt>
          <c:dPt>
            <c:idx val="1"/>
            <c:bubble3D val="0"/>
            <c:spPr>
              <a:solidFill>
                <a:schemeClr val="accent6">
                  <a:lumMod val="60000"/>
                  <a:lumOff val="40000"/>
                </a:schemeClr>
              </a:solidFill>
              <a:ln>
                <a:solidFill>
                  <a:schemeClr val="tx1"/>
                </a:solidFill>
              </a:ln>
            </c:spPr>
          </c:dPt>
          <c:dLbls>
            <c:dLbl>
              <c:idx val="0"/>
              <c:layout>
                <c:manualLayout>
                  <c:x val="0.205732522071105"/>
                  <c:y val="0.0"/>
                </c:manualLayout>
              </c:layout>
              <c:tx>
                <c:rich>
                  <a:bodyPr/>
                  <a:lstStyle/>
                  <a:p>
                    <a:r>
                      <a:rPr lang="en-US" sz="800"/>
                      <a:t>Rakhine / Maramargyi</a:t>
                    </a:r>
                    <a:r>
                      <a:rPr lang="en-US" sz="800" baseline="0"/>
                      <a:t> (5%)</a:t>
                    </a:r>
                    <a:endParaRPr lang="en-US" sz="800"/>
                  </a:p>
                </c:rich>
              </c:tx>
              <c:showLegendKey val="0"/>
              <c:showVal val="1"/>
              <c:showCatName val="0"/>
              <c:showSerName val="0"/>
              <c:showPercent val="0"/>
              <c:showBubbleSize val="0"/>
            </c:dLbl>
            <c:dLbl>
              <c:idx val="1"/>
              <c:layout>
                <c:manualLayout>
                  <c:x val="0.0972020796507579"/>
                  <c:y val="-0.282407407407407"/>
                </c:manualLayout>
              </c:layout>
              <c:tx>
                <c:rich>
                  <a:bodyPr/>
                  <a:lstStyle/>
                  <a:p>
                    <a:r>
                      <a:rPr lang="en-US" sz="800"/>
                      <a:t>Muslim (95%)</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'KAP Sampling'!$M$28:$M$29</c:f>
              <c:strCache>
                <c:ptCount val="2"/>
                <c:pt idx="0">
                  <c:v>Rakhine / Maramargyi</c:v>
                </c:pt>
                <c:pt idx="1">
                  <c:v>Muslim</c:v>
                </c:pt>
              </c:strCache>
            </c:strRef>
          </c:cat>
          <c:val>
            <c:numRef>
              <c:f>'KAP Sampling'!$Q$28:$Q$29</c:f>
              <c:numCache>
                <c:formatCode>#,##0</c:formatCode>
                <c:ptCount val="2"/>
                <c:pt idx="0">
                  <c:v>25.0</c:v>
                </c:pt>
                <c:pt idx="1">
                  <c:v>403.0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sz="1000">
                <a:latin typeface="+mj-lt"/>
              </a:defRPr>
            </a:pPr>
            <a:r>
              <a:rPr lang="en-US" sz="1000">
                <a:latin typeface="+mj-lt"/>
              </a:rPr>
              <a:t>Likelihood</a:t>
            </a:r>
            <a:r>
              <a:rPr lang="en-US" sz="1000" baseline="0">
                <a:latin typeface="+mj-lt"/>
              </a:rPr>
              <a:t> of children getting diarrhoea </a:t>
            </a:r>
          </a:p>
          <a:p>
            <a:pPr algn="l">
              <a:defRPr sz="1000">
                <a:latin typeface="+mj-lt"/>
              </a:defRPr>
            </a:pPr>
            <a:r>
              <a:rPr lang="en-US" sz="1000" baseline="0">
                <a:latin typeface="+mj-lt"/>
              </a:rPr>
              <a:t>in the next month</a:t>
            </a:r>
            <a:endParaRPr lang="en-US" sz="1000">
              <a:latin typeface="+mj-lt"/>
            </a:endParaRPr>
          </a:p>
        </c:rich>
      </c:tx>
      <c:layout>
        <c:manualLayout>
          <c:xMode val="edge"/>
          <c:yMode val="edge"/>
          <c:x val="0.127102893545342"/>
          <c:y val="0.0"/>
        </c:manualLayout>
      </c:layout>
      <c:overlay val="0"/>
    </c:title>
    <c:autoTitleDeleted val="0"/>
    <c:plotArea>
      <c:layout/>
      <c:barChart>
        <c:barDir val="bar"/>
        <c:grouping val="stacked"/>
        <c:varyColors val="0"/>
        <c:ser>
          <c:idx val="0"/>
          <c:order val="0"/>
          <c:tx>
            <c:strRef>
              <c:f>Location!$BN$441</c:f>
              <c:strCache>
                <c:ptCount val="1"/>
                <c:pt idx="0">
                  <c:v>Yes</c:v>
                </c:pt>
              </c:strCache>
            </c:strRef>
          </c:tx>
          <c:spPr>
            <a:solidFill>
              <a:schemeClr val="accent6">
                <a:lumMod val="60000"/>
                <a:lumOff val="40000"/>
              </a:schemeClr>
            </a:solidFill>
            <a:ln>
              <a:solidFill>
                <a:schemeClr val="tx1"/>
              </a:solidFill>
            </a:ln>
          </c:spPr>
          <c:invertIfNegative val="0"/>
          <c:dLbls>
            <c:txPr>
              <a:bodyPr/>
              <a:lstStyle/>
              <a:p>
                <a:pPr>
                  <a:defRPr sz="800" b="1">
                    <a:solidFill>
                      <a:schemeClr val="tx1"/>
                    </a:solidFill>
                    <a:latin typeface="+mj-lt"/>
                  </a:defRPr>
                </a:pPr>
                <a:endParaRPr lang="en-US"/>
              </a:p>
            </c:txPr>
            <c:dLblPos val="inEnd"/>
            <c:showLegendKey val="0"/>
            <c:showVal val="1"/>
            <c:showCatName val="0"/>
            <c:showSerName val="0"/>
            <c:showPercent val="0"/>
            <c:showBubbleSize val="0"/>
            <c:showLeaderLines val="0"/>
          </c:dLbls>
          <c:cat>
            <c:strRef>
              <c:f>Location!$BO$440:$BQ$440</c:f>
              <c:strCache>
                <c:ptCount val="3"/>
                <c:pt idx="0">
                  <c:v>TOTAL</c:v>
                </c:pt>
                <c:pt idx="1">
                  <c:v>IDP Camp</c:v>
                </c:pt>
                <c:pt idx="2">
                  <c:v>Village</c:v>
                </c:pt>
              </c:strCache>
            </c:strRef>
          </c:cat>
          <c:val>
            <c:numRef>
              <c:f>Location!$BO$441:$BQ$441</c:f>
              <c:numCache>
                <c:formatCode>0%</c:formatCode>
                <c:ptCount val="3"/>
                <c:pt idx="0">
                  <c:v>0.261682242990654</c:v>
                </c:pt>
                <c:pt idx="1">
                  <c:v>0.209090909090909</c:v>
                </c:pt>
                <c:pt idx="2">
                  <c:v>0.317307692307692</c:v>
                </c:pt>
              </c:numCache>
            </c:numRef>
          </c:val>
        </c:ser>
        <c:ser>
          <c:idx val="1"/>
          <c:order val="1"/>
          <c:tx>
            <c:strRef>
              <c:f>Location!$BN$442</c:f>
              <c:strCache>
                <c:ptCount val="1"/>
                <c:pt idx="0">
                  <c:v>Difficult to say</c:v>
                </c:pt>
              </c:strCache>
            </c:strRef>
          </c:tx>
          <c:spPr>
            <a:solidFill>
              <a:schemeClr val="accent5">
                <a:lumMod val="60000"/>
                <a:lumOff val="40000"/>
              </a:schemeClr>
            </a:solidFill>
            <a:ln>
              <a:solidFill>
                <a:schemeClr val="tx1"/>
              </a:solidFill>
            </a:ln>
          </c:spPr>
          <c:invertIfNegative val="0"/>
          <c:dLbls>
            <c:txPr>
              <a:bodyPr/>
              <a:lstStyle/>
              <a:p>
                <a:pPr>
                  <a:defRPr sz="800" b="1">
                    <a:latin typeface="+mj-lt"/>
                  </a:defRPr>
                </a:pPr>
                <a:endParaRPr lang="en-US"/>
              </a:p>
            </c:txPr>
            <c:showLegendKey val="0"/>
            <c:showVal val="1"/>
            <c:showCatName val="0"/>
            <c:showSerName val="0"/>
            <c:showPercent val="0"/>
            <c:showBubbleSize val="0"/>
            <c:showLeaderLines val="0"/>
          </c:dLbls>
          <c:cat>
            <c:strRef>
              <c:f>Location!$BO$440:$BQ$440</c:f>
              <c:strCache>
                <c:ptCount val="3"/>
                <c:pt idx="0">
                  <c:v>TOTAL</c:v>
                </c:pt>
                <c:pt idx="1">
                  <c:v>IDP Camp</c:v>
                </c:pt>
                <c:pt idx="2">
                  <c:v>Village</c:v>
                </c:pt>
              </c:strCache>
            </c:strRef>
          </c:cat>
          <c:val>
            <c:numRef>
              <c:f>Location!$BO$442:$BQ$442</c:f>
              <c:numCache>
                <c:formatCode>0%</c:formatCode>
                <c:ptCount val="3"/>
                <c:pt idx="0">
                  <c:v>0.186915887850467</c:v>
                </c:pt>
                <c:pt idx="1">
                  <c:v>0.195454545454545</c:v>
                </c:pt>
                <c:pt idx="2">
                  <c:v>0.177884615384615</c:v>
                </c:pt>
              </c:numCache>
            </c:numRef>
          </c:val>
        </c:ser>
        <c:ser>
          <c:idx val="2"/>
          <c:order val="2"/>
          <c:tx>
            <c:strRef>
              <c:f>Location!$BN$443</c:f>
              <c:strCache>
                <c:ptCount val="1"/>
                <c:pt idx="0">
                  <c:v>No</c:v>
                </c:pt>
              </c:strCache>
            </c:strRef>
          </c:tx>
          <c:spPr>
            <a:solidFill>
              <a:schemeClr val="accent4">
                <a:lumMod val="75000"/>
              </a:schemeClr>
            </a:solidFill>
            <a:ln>
              <a:solidFill>
                <a:schemeClr val="tx1"/>
              </a:solidFill>
            </a:ln>
          </c:spPr>
          <c:invertIfNegative val="0"/>
          <c:dLbls>
            <c:txPr>
              <a:bodyPr/>
              <a:lstStyle/>
              <a:p>
                <a:pPr>
                  <a:defRPr sz="800" b="1">
                    <a:solidFill>
                      <a:schemeClr val="bg1"/>
                    </a:solidFill>
                    <a:latin typeface="+mj-lt"/>
                  </a:defRPr>
                </a:pPr>
                <a:endParaRPr lang="en-US"/>
              </a:p>
            </c:txPr>
            <c:showLegendKey val="0"/>
            <c:showVal val="1"/>
            <c:showCatName val="0"/>
            <c:showSerName val="0"/>
            <c:showPercent val="0"/>
            <c:showBubbleSize val="0"/>
            <c:showLeaderLines val="0"/>
          </c:dLbls>
          <c:cat>
            <c:strRef>
              <c:f>Location!$BO$440:$BQ$440</c:f>
              <c:strCache>
                <c:ptCount val="3"/>
                <c:pt idx="0">
                  <c:v>TOTAL</c:v>
                </c:pt>
                <c:pt idx="1">
                  <c:v>IDP Camp</c:v>
                </c:pt>
                <c:pt idx="2">
                  <c:v>Village</c:v>
                </c:pt>
              </c:strCache>
            </c:strRef>
          </c:cat>
          <c:val>
            <c:numRef>
              <c:f>Location!$BO$443:$BQ$443</c:f>
              <c:numCache>
                <c:formatCode>0%</c:formatCode>
                <c:ptCount val="3"/>
                <c:pt idx="0">
                  <c:v>0.406542056074766</c:v>
                </c:pt>
                <c:pt idx="1">
                  <c:v>0.427272727272727</c:v>
                </c:pt>
                <c:pt idx="2">
                  <c:v>0.384615384615385</c:v>
                </c:pt>
              </c:numCache>
            </c:numRef>
          </c:val>
        </c:ser>
        <c:ser>
          <c:idx val="3"/>
          <c:order val="3"/>
          <c:tx>
            <c:strRef>
              <c:f>Location!$BN$444</c:f>
              <c:strCache>
                <c:ptCount val="1"/>
                <c:pt idx="0">
                  <c:v>Don't know</c:v>
                </c:pt>
              </c:strCache>
            </c:strRef>
          </c:tx>
          <c:spPr>
            <a:solidFill>
              <a:srgbClr val="FF0000"/>
            </a:solidFill>
            <a:ln>
              <a:solidFill>
                <a:schemeClr val="tx1"/>
              </a:solidFill>
            </a:ln>
          </c:spPr>
          <c:invertIfNegative val="0"/>
          <c:dLbls>
            <c:txPr>
              <a:bodyPr/>
              <a:lstStyle/>
              <a:p>
                <a:pPr>
                  <a:defRPr sz="800" b="1">
                    <a:solidFill>
                      <a:schemeClr val="bg1"/>
                    </a:solidFill>
                  </a:defRPr>
                </a:pPr>
                <a:endParaRPr lang="en-US"/>
              </a:p>
            </c:txPr>
            <c:showLegendKey val="0"/>
            <c:showVal val="1"/>
            <c:showCatName val="0"/>
            <c:showSerName val="0"/>
            <c:showPercent val="0"/>
            <c:showBubbleSize val="0"/>
            <c:showLeaderLines val="0"/>
          </c:dLbls>
          <c:cat>
            <c:strRef>
              <c:f>Location!$BO$440:$BQ$440</c:f>
              <c:strCache>
                <c:ptCount val="3"/>
                <c:pt idx="0">
                  <c:v>TOTAL</c:v>
                </c:pt>
                <c:pt idx="1">
                  <c:v>IDP Camp</c:v>
                </c:pt>
                <c:pt idx="2">
                  <c:v>Village</c:v>
                </c:pt>
              </c:strCache>
            </c:strRef>
          </c:cat>
          <c:val>
            <c:numRef>
              <c:f>Location!$BO$444:$BQ$444</c:f>
              <c:numCache>
                <c:formatCode>0%</c:formatCode>
                <c:ptCount val="3"/>
                <c:pt idx="0">
                  <c:v>0.144859813084112</c:v>
                </c:pt>
                <c:pt idx="1">
                  <c:v>0.168181818181818</c:v>
                </c:pt>
                <c:pt idx="2">
                  <c:v>0.120192307692308</c:v>
                </c:pt>
              </c:numCache>
            </c:numRef>
          </c:val>
        </c:ser>
        <c:dLbls>
          <c:showLegendKey val="0"/>
          <c:showVal val="0"/>
          <c:showCatName val="0"/>
          <c:showSerName val="0"/>
          <c:showPercent val="0"/>
          <c:showBubbleSize val="0"/>
        </c:dLbls>
        <c:gapWidth val="55"/>
        <c:overlap val="100"/>
        <c:axId val="2093741480"/>
        <c:axId val="2093737400"/>
      </c:barChart>
      <c:catAx>
        <c:axId val="2093741480"/>
        <c:scaling>
          <c:orientation val="maxMin"/>
        </c:scaling>
        <c:delete val="0"/>
        <c:axPos val="l"/>
        <c:majorTickMark val="none"/>
        <c:minorTickMark val="none"/>
        <c:tickLblPos val="nextTo"/>
        <c:txPr>
          <a:bodyPr/>
          <a:lstStyle/>
          <a:p>
            <a:pPr>
              <a:defRPr sz="900">
                <a:latin typeface="+mj-lt"/>
              </a:defRPr>
            </a:pPr>
            <a:endParaRPr lang="en-US"/>
          </a:p>
        </c:txPr>
        <c:crossAx val="2093737400"/>
        <c:crosses val="autoZero"/>
        <c:auto val="1"/>
        <c:lblAlgn val="ctr"/>
        <c:lblOffset val="100"/>
        <c:noMultiLvlLbl val="0"/>
      </c:catAx>
      <c:valAx>
        <c:axId val="2093737400"/>
        <c:scaling>
          <c:orientation val="minMax"/>
          <c:max val="1.0"/>
        </c:scaling>
        <c:delete val="0"/>
        <c:axPos val="t"/>
        <c:majorGridlines/>
        <c:numFmt formatCode="0%" sourceLinked="1"/>
        <c:majorTickMark val="none"/>
        <c:minorTickMark val="none"/>
        <c:tickLblPos val="nextTo"/>
        <c:txPr>
          <a:bodyPr/>
          <a:lstStyle/>
          <a:p>
            <a:pPr>
              <a:defRPr sz="800"/>
            </a:pPr>
            <a:endParaRPr lang="en-US"/>
          </a:p>
        </c:txPr>
        <c:crossAx val="2093741480"/>
        <c:crosses val="autoZero"/>
        <c:crossBetween val="between"/>
      </c:valAx>
      <c:spPr>
        <a:ln>
          <a:solidFill>
            <a:schemeClr val="tx1"/>
          </a:solidFill>
        </a:ln>
      </c:spPr>
    </c:plotArea>
    <c:legend>
      <c:legendPos val="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Reason why children are likely to get diarrhoea in the next month</a:t>
            </a:r>
          </a:p>
        </c:rich>
      </c:tx>
      <c:layout>
        <c:manualLayout>
          <c:xMode val="edge"/>
          <c:yMode val="edge"/>
          <c:x val="0.0353759842519685"/>
          <c:y val="0.037037037037037"/>
        </c:manualLayout>
      </c:layout>
      <c:overlay val="0"/>
    </c:title>
    <c:autoTitleDeleted val="0"/>
    <c:plotArea>
      <c:layout/>
      <c:barChart>
        <c:barDir val="bar"/>
        <c:grouping val="clustered"/>
        <c:varyColors val="0"/>
        <c:ser>
          <c:idx val="2"/>
          <c:order val="0"/>
          <c:tx>
            <c:strRef>
              <c:f>Location!$BO$438</c:f>
              <c:strCache>
                <c:ptCount val="1"/>
                <c:pt idx="0">
                  <c:v>Village</c:v>
                </c:pt>
              </c:strCache>
            </c:strRef>
          </c:tx>
          <c:spPr>
            <a:solidFill>
              <a:srgbClr val="008000"/>
            </a:solidFill>
            <a:ln>
              <a:solidFill>
                <a:schemeClr val="tx1"/>
              </a:solidFill>
            </a:ln>
          </c:spPr>
          <c:invertIfNegative val="0"/>
          <c:dPt>
            <c:idx val="0"/>
            <c:invertIfNegative val="0"/>
            <c:bubble3D val="0"/>
            <c:spPr>
              <a:solidFill>
                <a:srgbClr val="FF0000"/>
              </a:solidFill>
              <a:ln>
                <a:solidFill>
                  <a:schemeClr val="tx1"/>
                </a:solidFill>
              </a:ln>
            </c:spPr>
          </c:dPt>
          <c:dLbls>
            <c:dLbl>
              <c:idx val="2"/>
              <c:layout>
                <c:manualLayout>
                  <c:x val="-0.0700741962077494"/>
                  <c:y val="0.105864153992152"/>
                </c:manualLayout>
              </c:layout>
              <c:showLegendKey val="0"/>
              <c:showVal val="1"/>
              <c:showCatName val="0"/>
              <c:showSerName val="0"/>
              <c:showPercent val="0"/>
              <c:showBubbleSize val="0"/>
            </c:dLbl>
            <c:txPr>
              <a:bodyPr/>
              <a:lstStyle/>
              <a:p>
                <a:pPr>
                  <a:defRPr sz="800" b="1">
                    <a:latin typeface="+mj-lt"/>
                  </a:defRPr>
                </a:pPr>
                <a:endParaRPr lang="en-US"/>
              </a:p>
            </c:txPr>
            <c:showLegendKey val="0"/>
            <c:showVal val="1"/>
            <c:showCatName val="0"/>
            <c:showSerName val="0"/>
            <c:showPercent val="0"/>
            <c:showBubbleSize val="0"/>
            <c:showLeaderLines val="0"/>
          </c:dLbls>
          <c:cat>
            <c:strRef>
              <c:f>Location!$BP$435:$BU$435</c:f>
              <c:strCache>
                <c:ptCount val="6"/>
                <c:pt idx="0">
                  <c:v>No answer</c:v>
                </c:pt>
                <c:pt idx="1">
                  <c:v>Children NEVER LISTEN to parents</c:v>
                </c:pt>
                <c:pt idx="2">
                  <c:v>Children DON'T WASH HANDS enough</c:v>
                </c:pt>
                <c:pt idx="3">
                  <c:v>Children have POOR HYGIENE PRACTICES</c:v>
                </c:pt>
                <c:pt idx="4">
                  <c:v>Children ALWAYS DIRTY</c:v>
                </c:pt>
                <c:pt idx="5">
                  <c:v> Children DON'T USE a LATRINE</c:v>
                </c:pt>
              </c:strCache>
            </c:strRef>
          </c:cat>
          <c:val>
            <c:numRef>
              <c:f>Location!$BP$438:$BU$438</c:f>
              <c:numCache>
                <c:formatCode>0%</c:formatCode>
                <c:ptCount val="6"/>
                <c:pt idx="0">
                  <c:v>0.00961538461538461</c:v>
                </c:pt>
                <c:pt idx="1">
                  <c:v>0.0721153846153846</c:v>
                </c:pt>
                <c:pt idx="2">
                  <c:v>0.134615384615385</c:v>
                </c:pt>
                <c:pt idx="3">
                  <c:v>0.0769230769230769</c:v>
                </c:pt>
                <c:pt idx="4">
                  <c:v>0.0673076923076923</c:v>
                </c:pt>
                <c:pt idx="5">
                  <c:v>0.0336538461538462</c:v>
                </c:pt>
              </c:numCache>
            </c:numRef>
          </c:val>
        </c:ser>
        <c:dLbls>
          <c:showLegendKey val="0"/>
          <c:showVal val="0"/>
          <c:showCatName val="0"/>
          <c:showSerName val="0"/>
          <c:showPercent val="0"/>
          <c:showBubbleSize val="0"/>
        </c:dLbls>
        <c:gapWidth val="50"/>
        <c:axId val="2091881912"/>
        <c:axId val="2091860504"/>
      </c:barChart>
      <c:catAx>
        <c:axId val="2091881912"/>
        <c:scaling>
          <c:orientation val="maxMin"/>
        </c:scaling>
        <c:delete val="0"/>
        <c:axPos val="l"/>
        <c:majorTickMark val="out"/>
        <c:minorTickMark val="none"/>
        <c:tickLblPos val="nextTo"/>
        <c:txPr>
          <a:bodyPr/>
          <a:lstStyle/>
          <a:p>
            <a:pPr algn="r">
              <a:defRPr sz="900">
                <a:latin typeface="+mj-lt"/>
              </a:defRPr>
            </a:pPr>
            <a:endParaRPr lang="en-US"/>
          </a:p>
        </c:txPr>
        <c:crossAx val="2091860504"/>
        <c:crosses val="autoZero"/>
        <c:auto val="1"/>
        <c:lblAlgn val="ctr"/>
        <c:lblOffset val="100"/>
        <c:noMultiLvlLbl val="0"/>
      </c:catAx>
      <c:valAx>
        <c:axId val="2091860504"/>
        <c:scaling>
          <c:orientation val="minMax"/>
          <c:max val="0.15"/>
          <c:min val="0.0"/>
        </c:scaling>
        <c:delete val="0"/>
        <c:axPos val="t"/>
        <c:majorGridlines/>
        <c:numFmt formatCode="0%" sourceLinked="1"/>
        <c:majorTickMark val="out"/>
        <c:minorTickMark val="none"/>
        <c:tickLblPos val="nextTo"/>
        <c:txPr>
          <a:bodyPr/>
          <a:lstStyle/>
          <a:p>
            <a:pPr>
              <a:defRPr sz="800"/>
            </a:pPr>
            <a:endParaRPr lang="en-US"/>
          </a:p>
        </c:txPr>
        <c:crossAx val="2091881912"/>
        <c:crosses val="autoZero"/>
        <c:crossBetween val="between"/>
        <c:majorUnit val="0.05"/>
      </c:valAx>
      <c:spPr>
        <a:ln>
          <a:solidFill>
            <a:schemeClr val="tx1"/>
          </a:solidFill>
        </a:ln>
      </c:spPr>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423709362442572"/>
          <c:y val="0.209998177311169"/>
          <c:w val="0.638936570428696"/>
          <c:h val="0.734063867016623"/>
        </c:manualLayout>
      </c:layout>
      <c:barChart>
        <c:barDir val="bar"/>
        <c:grouping val="clustered"/>
        <c:varyColors val="0"/>
        <c:ser>
          <c:idx val="0"/>
          <c:order val="0"/>
          <c:tx>
            <c:strRef>
              <c:f>Location!$CY$440</c:f>
              <c:strCache>
                <c:ptCount val="1"/>
                <c:pt idx="0">
                  <c:v>IDP Camp</c:v>
                </c:pt>
              </c:strCache>
            </c:strRef>
          </c:tx>
          <c:spPr>
            <a:solidFill>
              <a:srgbClr val="FFFF00"/>
            </a:solidFill>
            <a:ln>
              <a:solidFill>
                <a:schemeClr val="tx1"/>
              </a:solidFill>
            </a:ln>
          </c:spPr>
          <c:invertIfNegative val="0"/>
          <c:dLbls>
            <c:dLbl>
              <c:idx val="0"/>
              <c:layout>
                <c:manualLayout>
                  <c:x val="0.00341123893694528"/>
                  <c:y val="0.0092592592592593"/>
                </c:manualLayout>
              </c:layout>
              <c:showLegendKey val="0"/>
              <c:showVal val="1"/>
              <c:showCatName val="0"/>
              <c:showSerName val="0"/>
              <c:showPercent val="0"/>
              <c:showBubbleSize val="0"/>
            </c:dLbl>
            <c:dLbl>
              <c:idx val="5"/>
              <c:delete val="1"/>
            </c:dLbl>
            <c:txPr>
              <a:bodyPr/>
              <a:lstStyle/>
              <a:p>
                <a:pPr>
                  <a:defRPr sz="800" b="1">
                    <a:latin typeface="+mj-lt"/>
                  </a:defRPr>
                </a:pPr>
                <a:endParaRPr lang="en-US"/>
              </a:p>
            </c:txPr>
            <c:showLegendKey val="0"/>
            <c:showVal val="1"/>
            <c:showCatName val="0"/>
            <c:showSerName val="0"/>
            <c:showPercent val="0"/>
            <c:showBubbleSize val="0"/>
            <c:showLeaderLines val="0"/>
          </c:dLbls>
          <c:cat>
            <c:strRef>
              <c:f>Location!$CZ$439:$DF$439</c:f>
              <c:strCache>
                <c:ptCount val="7"/>
                <c:pt idx="0">
                  <c:v>Filter (Ceramic or cloth)</c:v>
                </c:pt>
                <c:pt idx="1">
                  <c:v>Keep container covered</c:v>
                </c:pt>
                <c:pt idx="2">
                  <c:v>Keep container clean</c:v>
                </c:pt>
                <c:pt idx="3">
                  <c:v>Use waterpot with handle</c:v>
                </c:pt>
                <c:pt idx="4">
                  <c:v>Boiling</c:v>
                </c:pt>
                <c:pt idx="5">
                  <c:v>Adding chemicals</c:v>
                </c:pt>
                <c:pt idx="6">
                  <c:v>OTHER</c:v>
                </c:pt>
              </c:strCache>
            </c:strRef>
          </c:cat>
          <c:val>
            <c:numRef>
              <c:f>Location!$CZ$440:$DF$440</c:f>
              <c:numCache>
                <c:formatCode>0%</c:formatCode>
                <c:ptCount val="7"/>
                <c:pt idx="0">
                  <c:v>0.736363636363636</c:v>
                </c:pt>
                <c:pt idx="1">
                  <c:v>0.136363636363636</c:v>
                </c:pt>
                <c:pt idx="2">
                  <c:v>0.118181818181818</c:v>
                </c:pt>
                <c:pt idx="3">
                  <c:v>0.0272727272727273</c:v>
                </c:pt>
                <c:pt idx="4">
                  <c:v>0.0136363636363636</c:v>
                </c:pt>
                <c:pt idx="5">
                  <c:v>0.0</c:v>
                </c:pt>
                <c:pt idx="6">
                  <c:v>0.00909090909090909</c:v>
                </c:pt>
              </c:numCache>
            </c:numRef>
          </c:val>
        </c:ser>
        <c:ser>
          <c:idx val="1"/>
          <c:order val="1"/>
          <c:tx>
            <c:strRef>
              <c:f>Location!$CY$441</c:f>
              <c:strCache>
                <c:ptCount val="1"/>
                <c:pt idx="0">
                  <c:v>Village</c:v>
                </c:pt>
              </c:strCache>
            </c:strRef>
          </c:tx>
          <c:spPr>
            <a:solidFill>
              <a:schemeClr val="tx2"/>
            </a:solidFill>
            <a:ln>
              <a:solidFill>
                <a:schemeClr val="tx1"/>
              </a:solidFill>
            </a:ln>
          </c:spPr>
          <c:invertIfNegative val="0"/>
          <c:dLbls>
            <c:dLbl>
              <c:idx val="5"/>
              <c:delete val="1"/>
            </c:dLbl>
            <c:txPr>
              <a:bodyPr/>
              <a:lstStyle/>
              <a:p>
                <a:pPr>
                  <a:defRPr sz="800"/>
                </a:pPr>
                <a:endParaRPr lang="en-US"/>
              </a:p>
            </c:txPr>
            <c:showLegendKey val="0"/>
            <c:showVal val="1"/>
            <c:showCatName val="0"/>
            <c:showSerName val="0"/>
            <c:showPercent val="0"/>
            <c:showBubbleSize val="0"/>
            <c:showLeaderLines val="0"/>
          </c:dLbls>
          <c:cat>
            <c:strRef>
              <c:f>Location!$CZ$439:$DF$439</c:f>
              <c:strCache>
                <c:ptCount val="7"/>
                <c:pt idx="0">
                  <c:v>Filter (Ceramic or cloth)</c:v>
                </c:pt>
                <c:pt idx="1">
                  <c:v>Keep container covered</c:v>
                </c:pt>
                <c:pt idx="2">
                  <c:v>Keep container clean</c:v>
                </c:pt>
                <c:pt idx="3">
                  <c:v>Use waterpot with handle</c:v>
                </c:pt>
                <c:pt idx="4">
                  <c:v>Boiling</c:v>
                </c:pt>
                <c:pt idx="5">
                  <c:v>Adding chemicals</c:v>
                </c:pt>
                <c:pt idx="6">
                  <c:v>OTHER</c:v>
                </c:pt>
              </c:strCache>
            </c:strRef>
          </c:cat>
          <c:val>
            <c:numRef>
              <c:f>Location!$CZ$441:$DF$441</c:f>
              <c:numCache>
                <c:formatCode>0%</c:formatCode>
                <c:ptCount val="7"/>
                <c:pt idx="0">
                  <c:v>0.485576923076923</c:v>
                </c:pt>
                <c:pt idx="1">
                  <c:v>0.182692307692308</c:v>
                </c:pt>
                <c:pt idx="2">
                  <c:v>0.192307692307692</c:v>
                </c:pt>
                <c:pt idx="3">
                  <c:v>0.0480769230769231</c:v>
                </c:pt>
                <c:pt idx="4">
                  <c:v>0.0336538461538462</c:v>
                </c:pt>
                <c:pt idx="5">
                  <c:v>0.0</c:v>
                </c:pt>
                <c:pt idx="6">
                  <c:v>0.0384615384615385</c:v>
                </c:pt>
              </c:numCache>
            </c:numRef>
          </c:val>
        </c:ser>
        <c:dLbls>
          <c:showLegendKey val="0"/>
          <c:showVal val="0"/>
          <c:showCatName val="0"/>
          <c:showSerName val="0"/>
          <c:showPercent val="0"/>
          <c:showBubbleSize val="0"/>
        </c:dLbls>
        <c:gapWidth val="50"/>
        <c:axId val="2088963176"/>
        <c:axId val="2089159784"/>
      </c:barChart>
      <c:catAx>
        <c:axId val="2088963176"/>
        <c:scaling>
          <c:orientation val="maxMin"/>
        </c:scaling>
        <c:delete val="0"/>
        <c:axPos val="l"/>
        <c:majorTickMark val="none"/>
        <c:minorTickMark val="none"/>
        <c:tickLblPos val="nextTo"/>
        <c:txPr>
          <a:bodyPr/>
          <a:lstStyle/>
          <a:p>
            <a:pPr>
              <a:defRPr sz="900">
                <a:latin typeface="+mj-lt"/>
              </a:defRPr>
            </a:pPr>
            <a:endParaRPr lang="en-US"/>
          </a:p>
        </c:txPr>
        <c:crossAx val="2089159784"/>
        <c:crosses val="autoZero"/>
        <c:auto val="1"/>
        <c:lblAlgn val="ctr"/>
        <c:lblOffset val="100"/>
        <c:noMultiLvlLbl val="0"/>
      </c:catAx>
      <c:valAx>
        <c:axId val="2089159784"/>
        <c:scaling>
          <c:orientation val="minMax"/>
        </c:scaling>
        <c:delete val="0"/>
        <c:axPos val="t"/>
        <c:majorGridlines/>
        <c:numFmt formatCode="0%" sourceLinked="1"/>
        <c:majorTickMark val="none"/>
        <c:minorTickMark val="none"/>
        <c:tickLblPos val="nextTo"/>
        <c:txPr>
          <a:bodyPr/>
          <a:lstStyle/>
          <a:p>
            <a:pPr>
              <a:defRPr sz="800"/>
            </a:pPr>
            <a:endParaRPr lang="en-US"/>
          </a:p>
        </c:txPr>
        <c:crossAx val="2088963176"/>
        <c:crosses val="autoZero"/>
        <c:crossBetween val="between"/>
        <c:majorUnit val="0.2"/>
      </c:valAx>
      <c:spPr>
        <a:ln>
          <a:solidFill>
            <a:schemeClr val="tx1"/>
          </a:solidFill>
        </a:ln>
      </c:spPr>
    </c:plotArea>
    <c:legend>
      <c:legendPos val="t"/>
      <c:layout>
        <c:manualLayout>
          <c:xMode val="edge"/>
          <c:yMode val="edge"/>
          <c:x val="0.319939473980697"/>
          <c:y val="0.0416666666666667"/>
          <c:w val="0.596943342137877"/>
          <c:h val="0.0837171916010499"/>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000">
                <a:latin typeface="+mj-lt"/>
              </a:rPr>
              <a:t>Ways to Keep</a:t>
            </a:r>
            <a:r>
              <a:rPr lang="en-US" sz="1000" baseline="0">
                <a:latin typeface="+mj-lt"/>
              </a:rPr>
              <a:t> Water Safe</a:t>
            </a:r>
            <a:endParaRPr lang="en-US" sz="1000">
              <a:latin typeface="+mj-lt"/>
            </a:endParaRPr>
          </a:p>
        </c:rich>
      </c:tx>
      <c:layout>
        <c:manualLayout>
          <c:xMode val="edge"/>
          <c:yMode val="edge"/>
          <c:x val="0.124542681620728"/>
          <c:y val="0.0317604355716878"/>
        </c:manualLayout>
      </c:layout>
      <c:overlay val="0"/>
    </c:title>
    <c:autoTitleDeleted val="0"/>
    <c:plotArea>
      <c:layout>
        <c:manualLayout>
          <c:layoutTarget val="inner"/>
          <c:xMode val="edge"/>
          <c:yMode val="edge"/>
          <c:x val="0.171722087513816"/>
          <c:y val="0.233365248581677"/>
          <c:w val="0.75584853443918"/>
          <c:h val="0.734940766251768"/>
        </c:manualLayout>
      </c:layout>
      <c:barChart>
        <c:barDir val="bar"/>
        <c:grouping val="clustered"/>
        <c:varyColors val="0"/>
        <c:ser>
          <c:idx val="2"/>
          <c:order val="0"/>
          <c:tx>
            <c:strRef>
              <c:f>Location!$CY$442</c:f>
              <c:strCache>
                <c:ptCount val="1"/>
                <c:pt idx="0">
                  <c:v>TOTAL</c:v>
                </c:pt>
              </c:strCache>
            </c:strRef>
          </c:tx>
          <c:spPr>
            <a:solidFill>
              <a:srgbClr val="008000"/>
            </a:solidFill>
            <a:ln>
              <a:solidFill>
                <a:schemeClr val="tx1"/>
              </a:solidFill>
            </a:ln>
          </c:spPr>
          <c:invertIfNegative val="0"/>
          <c:dPt>
            <c:idx val="6"/>
            <c:invertIfNegative val="0"/>
            <c:bubble3D val="0"/>
            <c:spPr>
              <a:solidFill>
                <a:srgbClr val="FF0000"/>
              </a:solidFill>
              <a:ln>
                <a:solidFill>
                  <a:schemeClr val="tx1"/>
                </a:solidFill>
              </a:ln>
            </c:spPr>
          </c:dPt>
          <c:dLbls>
            <c:dLbl>
              <c:idx val="5"/>
              <c:delete val="1"/>
            </c:dLbl>
            <c:txPr>
              <a:bodyPr/>
              <a:lstStyle/>
              <a:p>
                <a:pPr>
                  <a:defRPr sz="800" b="1"/>
                </a:pPr>
                <a:endParaRPr lang="en-US"/>
              </a:p>
            </c:txPr>
            <c:showLegendKey val="0"/>
            <c:showVal val="1"/>
            <c:showCatName val="0"/>
            <c:showSerName val="0"/>
            <c:showPercent val="0"/>
            <c:showBubbleSize val="0"/>
            <c:showLeaderLines val="0"/>
          </c:dLbls>
          <c:cat>
            <c:strRef>
              <c:f>Location!$CZ$439:$DF$439</c:f>
              <c:strCache>
                <c:ptCount val="7"/>
                <c:pt idx="0">
                  <c:v>Filter (Ceramic or cloth)</c:v>
                </c:pt>
                <c:pt idx="1">
                  <c:v>Keep container covered</c:v>
                </c:pt>
                <c:pt idx="2">
                  <c:v>Keep container clean</c:v>
                </c:pt>
                <c:pt idx="3">
                  <c:v>Use waterpot with handle</c:v>
                </c:pt>
                <c:pt idx="4">
                  <c:v>Boiling</c:v>
                </c:pt>
                <c:pt idx="5">
                  <c:v>Adding chemicals</c:v>
                </c:pt>
                <c:pt idx="6">
                  <c:v>OTHER</c:v>
                </c:pt>
              </c:strCache>
            </c:strRef>
          </c:cat>
          <c:val>
            <c:numRef>
              <c:f>Location!$CZ$442:$DF$442</c:f>
              <c:numCache>
                <c:formatCode>0%</c:formatCode>
                <c:ptCount val="7"/>
                <c:pt idx="0">
                  <c:v>0.614485981308411</c:v>
                </c:pt>
                <c:pt idx="1">
                  <c:v>0.158878504672897</c:v>
                </c:pt>
                <c:pt idx="2">
                  <c:v>0.154205607476635</c:v>
                </c:pt>
                <c:pt idx="3">
                  <c:v>0.0373831775700934</c:v>
                </c:pt>
                <c:pt idx="4">
                  <c:v>0.0233644859813084</c:v>
                </c:pt>
                <c:pt idx="5">
                  <c:v>0.0</c:v>
                </c:pt>
                <c:pt idx="6">
                  <c:v>0.0233644859813084</c:v>
                </c:pt>
              </c:numCache>
            </c:numRef>
          </c:val>
        </c:ser>
        <c:dLbls>
          <c:showLegendKey val="0"/>
          <c:showVal val="0"/>
          <c:showCatName val="0"/>
          <c:showSerName val="0"/>
          <c:showPercent val="0"/>
          <c:showBubbleSize val="0"/>
        </c:dLbls>
        <c:gapWidth val="50"/>
        <c:axId val="2088996280"/>
        <c:axId val="2088992856"/>
      </c:barChart>
      <c:catAx>
        <c:axId val="2088996280"/>
        <c:scaling>
          <c:orientation val="maxMin"/>
        </c:scaling>
        <c:delete val="1"/>
        <c:axPos val="r"/>
        <c:majorTickMark val="out"/>
        <c:minorTickMark val="none"/>
        <c:tickLblPos val="nextTo"/>
        <c:crossAx val="2088992856"/>
        <c:crosses val="autoZero"/>
        <c:auto val="1"/>
        <c:lblAlgn val="ctr"/>
        <c:lblOffset val="100"/>
        <c:noMultiLvlLbl val="0"/>
      </c:catAx>
      <c:valAx>
        <c:axId val="2088992856"/>
        <c:scaling>
          <c:orientation val="maxMin"/>
          <c:max val="0.8"/>
        </c:scaling>
        <c:delete val="0"/>
        <c:axPos val="t"/>
        <c:majorGridlines/>
        <c:numFmt formatCode="0%" sourceLinked="1"/>
        <c:majorTickMark val="out"/>
        <c:minorTickMark val="none"/>
        <c:tickLblPos val="nextTo"/>
        <c:txPr>
          <a:bodyPr/>
          <a:lstStyle/>
          <a:p>
            <a:pPr>
              <a:defRPr sz="800"/>
            </a:pPr>
            <a:endParaRPr lang="en-US"/>
          </a:p>
        </c:txPr>
        <c:crossAx val="2088996280"/>
        <c:crosses val="autoZero"/>
        <c:crossBetween val="between"/>
        <c:majorUnit val="0.2"/>
      </c:valAx>
      <c:spPr>
        <a:ln>
          <a:solidFill>
            <a:schemeClr val="tx1"/>
          </a:solidFill>
        </a:ln>
      </c:spPr>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Reasons for changes</a:t>
            </a:r>
          </a:p>
          <a:p>
            <a:pPr>
              <a:defRPr>
                <a:latin typeface="+mj-lt"/>
              </a:defRPr>
            </a:pPr>
            <a:r>
              <a:rPr lang="en-US" sz="1000">
                <a:latin typeface="+mj-lt"/>
              </a:rPr>
              <a:t>in HWT behaviour</a:t>
            </a:r>
          </a:p>
        </c:rich>
      </c:tx>
      <c:layout>
        <c:manualLayout>
          <c:xMode val="edge"/>
          <c:yMode val="edge"/>
          <c:x val="0.0329749452097208"/>
          <c:y val="0.00302339439712893"/>
        </c:manualLayout>
      </c:layout>
      <c:overlay val="0"/>
    </c:title>
    <c:autoTitleDeleted val="0"/>
    <c:plotArea>
      <c:layout>
        <c:manualLayout>
          <c:layoutTarget val="inner"/>
          <c:xMode val="edge"/>
          <c:yMode val="edge"/>
          <c:x val="0.270356736657918"/>
          <c:y val="0.234998177311169"/>
          <c:w val="0.689185039370079"/>
          <c:h val="0.704816637503645"/>
        </c:manualLayout>
      </c:layout>
      <c:barChart>
        <c:barDir val="bar"/>
        <c:grouping val="clustered"/>
        <c:varyColors val="0"/>
        <c:ser>
          <c:idx val="0"/>
          <c:order val="0"/>
          <c:tx>
            <c:strRef>
              <c:f>'Macintosh HD:Users:user:Desktop:[working KAP Database (Sat 16th).xlsx]Location'!$DH$497</c:f>
              <c:strCache>
                <c:ptCount val="1"/>
                <c:pt idx="0">
                  <c:v>IDP Camp</c:v>
                </c:pt>
              </c:strCache>
            </c:strRef>
          </c:tx>
          <c:spPr>
            <a:solidFill>
              <a:srgbClr val="FFFF00"/>
            </a:solidFill>
            <a:ln>
              <a:solidFill>
                <a:schemeClr val="tx1"/>
              </a:solidFill>
            </a:ln>
          </c:spPr>
          <c:invertIfNegative val="0"/>
          <c:dLbls>
            <c:dLbl>
              <c:idx val="0"/>
              <c:layout>
                <c:manualLayout>
                  <c:x val="0.0038550501156515"/>
                  <c:y val="0.00425237023943436"/>
                </c:manualLayout>
              </c:layout>
              <c:showLegendKey val="0"/>
              <c:showVal val="1"/>
              <c:showCatName val="0"/>
              <c:showSerName val="0"/>
              <c:showPercent val="0"/>
              <c:showBubbleSize val="0"/>
            </c:dLbl>
            <c:dLbl>
              <c:idx val="4"/>
              <c:delete val="1"/>
            </c:dLbl>
            <c:dLbl>
              <c:idx val="5"/>
              <c:delete val="1"/>
            </c:dLbl>
            <c:dLbl>
              <c:idx val="6"/>
              <c:delete val="1"/>
            </c:dLbl>
            <c:txPr>
              <a:bodyPr/>
              <a:lstStyle/>
              <a:p>
                <a:pPr>
                  <a:defRPr sz="800" b="1">
                    <a:latin typeface="+mj-lt"/>
                  </a:defRPr>
                </a:pPr>
                <a:endParaRPr lang="en-US"/>
              </a:p>
            </c:txPr>
            <c:showLegendKey val="0"/>
            <c:showVal val="1"/>
            <c:showCatName val="0"/>
            <c:showSerName val="0"/>
            <c:showPercent val="0"/>
            <c:showBubbleSize val="0"/>
            <c:showLeaderLines val="0"/>
          </c:dLbls>
          <c:cat>
            <c:strRef>
              <c:f>'Macintosh HD:Users:user:Desktop:[working KAP Database (Sat 16th).xlsx]Location'!$DI$496:$DP$496</c:f>
              <c:strCache>
                <c:ptCount val="8"/>
                <c:pt idx="0">
                  <c:v>NO REASON </c:v>
                </c:pt>
                <c:pt idx="1">
                  <c:v>HP sessions by NGOs</c:v>
                </c:pt>
                <c:pt idx="2">
                  <c:v>HP Sessions from _x000d_Volunteers</c:v>
                </c:pt>
                <c:pt idx="3">
                  <c:v>Govt Health Workers</c:v>
                </c:pt>
                <c:pt idx="4">
                  <c:v>From my children</c:v>
                </c:pt>
                <c:pt idx="5">
                  <c:v>Radio messages</c:v>
                </c:pt>
                <c:pt idx="6">
                  <c:v>TV messages</c:v>
                </c:pt>
                <c:pt idx="7">
                  <c:v>OTHER</c:v>
                </c:pt>
              </c:strCache>
            </c:strRef>
          </c:cat>
          <c:val>
            <c:numRef>
              <c:f>'Macintosh HD:Users:user:Desktop:[working KAP Database (Sat 16th).xlsx]Location'!$DI$497:$DP$497</c:f>
              <c:numCache>
                <c:formatCode>0%</c:formatCode>
                <c:ptCount val="8"/>
                <c:pt idx="0">
                  <c:v>0.0590909090909091</c:v>
                </c:pt>
                <c:pt idx="1">
                  <c:v>0.568181818181818</c:v>
                </c:pt>
                <c:pt idx="2">
                  <c:v>0.236363636363636</c:v>
                </c:pt>
                <c:pt idx="3">
                  <c:v>0.0590909090909091</c:v>
                </c:pt>
                <c:pt idx="4">
                  <c:v>0.00454545454545454</c:v>
                </c:pt>
                <c:pt idx="5">
                  <c:v>0.00454545454545454</c:v>
                </c:pt>
                <c:pt idx="6">
                  <c:v>0.0</c:v>
                </c:pt>
                <c:pt idx="7">
                  <c:v>0.0454545454545454</c:v>
                </c:pt>
              </c:numCache>
            </c:numRef>
          </c:val>
        </c:ser>
        <c:ser>
          <c:idx val="1"/>
          <c:order val="1"/>
          <c:tx>
            <c:strRef>
              <c:f>'Macintosh HD:Users:user:Desktop:[working KAP Database (Sat 16th).xlsx]Location'!$DH$498</c:f>
              <c:strCache>
                <c:ptCount val="1"/>
                <c:pt idx="0">
                  <c:v>Village</c:v>
                </c:pt>
              </c:strCache>
            </c:strRef>
          </c:tx>
          <c:spPr>
            <a:solidFill>
              <a:schemeClr val="tx2"/>
            </a:solidFill>
            <a:ln>
              <a:solidFill>
                <a:schemeClr val="tx1"/>
              </a:solidFill>
            </a:ln>
          </c:spPr>
          <c:invertIfNegative val="0"/>
          <c:dLbls>
            <c:dLbl>
              <c:idx val="3"/>
              <c:delete val="1"/>
            </c:dLbl>
            <c:dLbl>
              <c:idx val="4"/>
              <c:delete val="1"/>
            </c:dLbl>
            <c:dLbl>
              <c:idx val="5"/>
              <c:delete val="1"/>
            </c:dLbl>
            <c:dLbl>
              <c:idx val="6"/>
              <c:delete val="1"/>
            </c:dLbl>
            <c:dLbl>
              <c:idx val="7"/>
              <c:delete val="1"/>
            </c:dLbl>
            <c:txPr>
              <a:bodyPr/>
              <a:lstStyle/>
              <a:p>
                <a:pPr>
                  <a:defRPr sz="800">
                    <a:latin typeface="+mj-lt"/>
                  </a:defRPr>
                </a:pPr>
                <a:endParaRPr lang="en-US"/>
              </a:p>
            </c:txPr>
            <c:showLegendKey val="0"/>
            <c:showVal val="1"/>
            <c:showCatName val="0"/>
            <c:showSerName val="0"/>
            <c:showPercent val="0"/>
            <c:showBubbleSize val="0"/>
            <c:showLeaderLines val="0"/>
          </c:dLbls>
          <c:cat>
            <c:strRef>
              <c:f>'Macintosh HD:Users:user:Desktop:[working KAP Database (Sat 16th).xlsx]Location'!$DI$496:$DP$496</c:f>
              <c:strCache>
                <c:ptCount val="8"/>
                <c:pt idx="0">
                  <c:v>NO REASON </c:v>
                </c:pt>
                <c:pt idx="1">
                  <c:v>HP sessions by NGOs</c:v>
                </c:pt>
                <c:pt idx="2">
                  <c:v>HP Sessions from _x000d_Volunteers</c:v>
                </c:pt>
                <c:pt idx="3">
                  <c:v>Govt Health Workers</c:v>
                </c:pt>
                <c:pt idx="4">
                  <c:v>From my children</c:v>
                </c:pt>
                <c:pt idx="5">
                  <c:v>Radio messages</c:v>
                </c:pt>
                <c:pt idx="6">
                  <c:v>TV messages</c:v>
                </c:pt>
                <c:pt idx="7">
                  <c:v>OTHER</c:v>
                </c:pt>
              </c:strCache>
            </c:strRef>
          </c:cat>
          <c:val>
            <c:numRef>
              <c:f>'Macintosh HD:Users:user:Desktop:[working KAP Database (Sat 16th).xlsx]Location'!$DI$498:$DP$498</c:f>
              <c:numCache>
                <c:formatCode>0%</c:formatCode>
                <c:ptCount val="8"/>
                <c:pt idx="0">
                  <c:v>0.144230769230769</c:v>
                </c:pt>
                <c:pt idx="1">
                  <c:v>0.259615384615385</c:v>
                </c:pt>
                <c:pt idx="2">
                  <c:v>0.201923076923077</c:v>
                </c:pt>
                <c:pt idx="3">
                  <c:v>0.0240384615384615</c:v>
                </c:pt>
                <c:pt idx="4">
                  <c:v>0.00961538461538461</c:v>
                </c:pt>
                <c:pt idx="5">
                  <c:v>0.00961538461538461</c:v>
                </c:pt>
                <c:pt idx="6">
                  <c:v>0.00480769230769231</c:v>
                </c:pt>
                <c:pt idx="7">
                  <c:v>0.0144230769230769</c:v>
                </c:pt>
              </c:numCache>
            </c:numRef>
          </c:val>
        </c:ser>
        <c:dLbls>
          <c:showLegendKey val="0"/>
          <c:showVal val="0"/>
          <c:showCatName val="0"/>
          <c:showSerName val="0"/>
          <c:showPercent val="0"/>
          <c:showBubbleSize val="0"/>
        </c:dLbls>
        <c:gapWidth val="50"/>
        <c:axId val="-2141401480"/>
        <c:axId val="2125356488"/>
      </c:barChart>
      <c:catAx>
        <c:axId val="-2141401480"/>
        <c:scaling>
          <c:orientation val="maxMin"/>
        </c:scaling>
        <c:delete val="0"/>
        <c:axPos val="l"/>
        <c:majorTickMark val="none"/>
        <c:minorTickMark val="none"/>
        <c:tickLblPos val="nextTo"/>
        <c:txPr>
          <a:bodyPr/>
          <a:lstStyle/>
          <a:p>
            <a:pPr algn="r">
              <a:defRPr sz="900">
                <a:latin typeface="+mj-lt"/>
              </a:defRPr>
            </a:pPr>
            <a:endParaRPr lang="en-US"/>
          </a:p>
        </c:txPr>
        <c:crossAx val="2125356488"/>
        <c:crosses val="autoZero"/>
        <c:auto val="1"/>
        <c:lblAlgn val="ctr"/>
        <c:lblOffset val="100"/>
        <c:noMultiLvlLbl val="0"/>
      </c:catAx>
      <c:valAx>
        <c:axId val="2125356488"/>
        <c:scaling>
          <c:orientation val="minMax"/>
        </c:scaling>
        <c:delete val="0"/>
        <c:axPos val="t"/>
        <c:majorGridlines/>
        <c:numFmt formatCode="0%" sourceLinked="1"/>
        <c:majorTickMark val="none"/>
        <c:minorTickMark val="none"/>
        <c:tickLblPos val="nextTo"/>
        <c:txPr>
          <a:bodyPr/>
          <a:lstStyle/>
          <a:p>
            <a:pPr>
              <a:defRPr sz="800"/>
            </a:pPr>
            <a:endParaRPr lang="en-US"/>
          </a:p>
        </c:txPr>
        <c:crossAx val="-2141401480"/>
        <c:crosses val="autoZero"/>
        <c:crossBetween val="between"/>
      </c:valAx>
      <c:spPr>
        <a:ln>
          <a:solidFill>
            <a:schemeClr val="tx1"/>
          </a:solidFill>
        </a:ln>
      </c:spPr>
    </c:plotArea>
    <c:legend>
      <c:legendPos val="t"/>
      <c:layout>
        <c:manualLayout>
          <c:xMode val="edge"/>
          <c:yMode val="edge"/>
          <c:x val="0.655068328486695"/>
          <c:y val="0.0169123948792115"/>
          <c:w val="0.270929583108202"/>
          <c:h val="0.0984493009802346"/>
        </c:manualLayout>
      </c:layout>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mj-lt"/>
              </a:defRPr>
            </a:pPr>
            <a:r>
              <a:rPr lang="en-US" sz="1000">
                <a:latin typeface="+mj-lt"/>
              </a:rPr>
              <a:t>Changes in HWT Behaviour since the 2012  </a:t>
            </a:r>
          </a:p>
        </c:rich>
      </c:tx>
      <c:layout>
        <c:manualLayout>
          <c:xMode val="edge"/>
          <c:yMode val="edge"/>
          <c:x val="0.0329632545931759"/>
          <c:y val="0.0324074074074074"/>
        </c:manualLayout>
      </c:layout>
      <c:overlay val="0"/>
    </c:title>
    <c:autoTitleDeleted val="0"/>
    <c:plotArea>
      <c:layout>
        <c:manualLayout>
          <c:layoutTarget val="inner"/>
          <c:xMode val="edge"/>
          <c:yMode val="edge"/>
          <c:x val="0.228983186819113"/>
          <c:y val="0.336803368328959"/>
          <c:w val="0.674066983065473"/>
          <c:h val="0.635418853893263"/>
        </c:manualLayout>
      </c:layout>
      <c:barChart>
        <c:barDir val="bar"/>
        <c:grouping val="stacked"/>
        <c:varyColors val="0"/>
        <c:ser>
          <c:idx val="1"/>
          <c:order val="0"/>
          <c:tx>
            <c:strRef>
              <c:f>Location!$DH$470</c:f>
              <c:strCache>
                <c:ptCount val="1"/>
                <c:pt idx="0">
                  <c:v>Different</c:v>
                </c:pt>
              </c:strCache>
            </c:strRef>
          </c:tx>
          <c:spPr>
            <a:solidFill>
              <a:schemeClr val="accent6">
                <a:lumMod val="60000"/>
                <a:lumOff val="40000"/>
              </a:schemeClr>
            </a:solidFill>
            <a:ln>
              <a:solidFill>
                <a:schemeClr val="tx1"/>
              </a:solidFill>
            </a:ln>
          </c:spPr>
          <c:invertIfNegative val="0"/>
          <c:dLbls>
            <c:dLbl>
              <c:idx val="0"/>
              <c:layout>
                <c:manualLayout>
                  <c:x val="-0.0688418635170604"/>
                  <c:y val="3.64537766112569E-7"/>
                </c:manualLayout>
              </c:layout>
              <c:dLblPos val="ctr"/>
              <c:showLegendKey val="0"/>
              <c:showVal val="1"/>
              <c:showCatName val="0"/>
              <c:showSerName val="0"/>
              <c:showPercent val="0"/>
              <c:showBubbleSize val="0"/>
            </c:dLbl>
            <c:dLbl>
              <c:idx val="1"/>
              <c:layout>
                <c:manualLayout>
                  <c:x val="-0.126086614173228"/>
                  <c:y val="-0.00462926509186352"/>
                </c:manualLayout>
              </c:layout>
              <c:dLblPos val="ctr"/>
              <c:showLegendKey val="0"/>
              <c:showVal val="1"/>
              <c:showCatName val="0"/>
              <c:showSerName val="0"/>
              <c:showPercent val="0"/>
              <c:showBubbleSize val="0"/>
            </c:dLbl>
            <c:dLbl>
              <c:idx val="2"/>
              <c:layout>
                <c:manualLayout>
                  <c:x val="-0.0231347331583552"/>
                  <c:y val="-0.00462926509186352"/>
                </c:manualLayout>
              </c:layout>
              <c:dLblPos val="ctr"/>
              <c:showLegendKey val="0"/>
              <c:showVal val="1"/>
              <c:showCatName val="0"/>
              <c:showSerName val="0"/>
              <c:showPercent val="0"/>
              <c:showBubbleSize val="0"/>
            </c:dLbl>
            <c:txPr>
              <a:bodyPr/>
              <a:lstStyle/>
              <a:p>
                <a:pPr>
                  <a:defRPr sz="800" b="1"/>
                </a:pPr>
                <a:endParaRPr lang="en-US"/>
              </a:p>
            </c:txPr>
            <c:dLblPos val="inEnd"/>
            <c:showLegendKey val="0"/>
            <c:showVal val="1"/>
            <c:showCatName val="0"/>
            <c:showSerName val="0"/>
            <c:showPercent val="0"/>
            <c:showBubbleSize val="0"/>
            <c:showLeaderLines val="0"/>
          </c:dLbls>
          <c:cat>
            <c:strRef>
              <c:f>Location!$DI$468:$DK$468</c:f>
              <c:strCache>
                <c:ptCount val="3"/>
                <c:pt idx="0">
                  <c:v>TOTAL</c:v>
                </c:pt>
                <c:pt idx="1">
                  <c:v>IDP Camp</c:v>
                </c:pt>
                <c:pt idx="2">
                  <c:v>Village</c:v>
                </c:pt>
              </c:strCache>
            </c:strRef>
          </c:cat>
          <c:val>
            <c:numRef>
              <c:f>Location!$DI$470:$DK$470</c:f>
              <c:numCache>
                <c:formatCode>0%</c:formatCode>
                <c:ptCount val="3"/>
                <c:pt idx="0">
                  <c:v>0.66822429906542</c:v>
                </c:pt>
                <c:pt idx="1">
                  <c:v>0.797297297297297</c:v>
                </c:pt>
                <c:pt idx="2">
                  <c:v>0.524038461538462</c:v>
                </c:pt>
              </c:numCache>
            </c:numRef>
          </c:val>
        </c:ser>
        <c:ser>
          <c:idx val="0"/>
          <c:order val="1"/>
          <c:tx>
            <c:strRef>
              <c:f>Location!$DH$469</c:f>
              <c:strCache>
                <c:ptCount val="1"/>
                <c:pt idx="0">
                  <c:v>Same</c:v>
                </c:pt>
              </c:strCache>
            </c:strRef>
          </c:tx>
          <c:spPr>
            <a:solidFill>
              <a:srgbClr val="66FFFF"/>
            </a:solidFill>
            <a:ln>
              <a:solidFill>
                <a:schemeClr val="tx1"/>
              </a:solidFill>
            </a:ln>
          </c:spPr>
          <c:invertIfNegative val="0"/>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dLbl>
              <c:idx val="2"/>
              <c:layout/>
              <c:showLegendKey val="0"/>
              <c:showVal val="1"/>
              <c:showCatName val="0"/>
              <c:showSerName val="0"/>
              <c:showPercent val="0"/>
              <c:showBubbleSize val="0"/>
            </c:dLbl>
            <c:txPr>
              <a:bodyPr/>
              <a:lstStyle/>
              <a:p>
                <a:pPr>
                  <a:defRPr sz="800">
                    <a:latin typeface="+mj-lt"/>
                  </a:defRPr>
                </a:pPr>
                <a:endParaRPr lang="en-US"/>
              </a:p>
            </c:txPr>
            <c:showLegendKey val="0"/>
            <c:showVal val="0"/>
            <c:showCatName val="0"/>
            <c:showSerName val="0"/>
            <c:showPercent val="0"/>
            <c:showBubbleSize val="0"/>
          </c:dLbls>
          <c:cat>
            <c:strRef>
              <c:f>Location!$DI$468:$DK$468</c:f>
              <c:strCache>
                <c:ptCount val="3"/>
                <c:pt idx="0">
                  <c:v>TOTAL</c:v>
                </c:pt>
                <c:pt idx="1">
                  <c:v>IDP Camp</c:v>
                </c:pt>
                <c:pt idx="2">
                  <c:v>Village</c:v>
                </c:pt>
              </c:strCache>
            </c:strRef>
          </c:cat>
          <c:val>
            <c:numRef>
              <c:f>Location!$DI$469:$DK$469</c:f>
              <c:numCache>
                <c:formatCode>0%</c:formatCode>
                <c:ptCount val="3"/>
                <c:pt idx="0">
                  <c:v>0.273364485981308</c:v>
                </c:pt>
                <c:pt idx="1">
                  <c:v>0.148648648648649</c:v>
                </c:pt>
                <c:pt idx="2">
                  <c:v>0.403846153846154</c:v>
                </c:pt>
              </c:numCache>
            </c:numRef>
          </c:val>
        </c:ser>
        <c:ser>
          <c:idx val="2"/>
          <c:order val="2"/>
          <c:tx>
            <c:strRef>
              <c:f>Location!$DH$471</c:f>
              <c:strCache>
                <c:ptCount val="1"/>
                <c:pt idx="0">
                  <c:v>Don't know</c:v>
                </c:pt>
              </c:strCache>
            </c:strRef>
          </c:tx>
          <c:spPr>
            <a:solidFill>
              <a:srgbClr val="FF0000"/>
            </a:solidFill>
            <a:ln>
              <a:solidFill>
                <a:schemeClr val="tx1"/>
              </a:solidFill>
            </a:ln>
          </c:spPr>
          <c:invertIfNegative val="0"/>
          <c:cat>
            <c:strRef>
              <c:f>Location!$DI$468:$DK$468</c:f>
              <c:strCache>
                <c:ptCount val="3"/>
                <c:pt idx="0">
                  <c:v>TOTAL</c:v>
                </c:pt>
                <c:pt idx="1">
                  <c:v>IDP Camp</c:v>
                </c:pt>
                <c:pt idx="2">
                  <c:v>Village</c:v>
                </c:pt>
              </c:strCache>
            </c:strRef>
          </c:cat>
          <c:val>
            <c:numRef>
              <c:f>Location!$DI$471:$DK$471</c:f>
              <c:numCache>
                <c:formatCode>0%</c:formatCode>
                <c:ptCount val="3"/>
                <c:pt idx="0">
                  <c:v>0.0420560747663551</c:v>
                </c:pt>
                <c:pt idx="1">
                  <c:v>0.036036036036036</c:v>
                </c:pt>
                <c:pt idx="2">
                  <c:v>0.0480769230769231</c:v>
                </c:pt>
              </c:numCache>
            </c:numRef>
          </c:val>
        </c:ser>
        <c:dLbls>
          <c:showLegendKey val="0"/>
          <c:showVal val="0"/>
          <c:showCatName val="0"/>
          <c:showSerName val="0"/>
          <c:showPercent val="0"/>
          <c:showBubbleSize val="0"/>
        </c:dLbls>
        <c:gapWidth val="55"/>
        <c:overlap val="100"/>
        <c:axId val="2056916616"/>
        <c:axId val="2056919704"/>
      </c:barChart>
      <c:catAx>
        <c:axId val="2056916616"/>
        <c:scaling>
          <c:orientation val="maxMin"/>
        </c:scaling>
        <c:delete val="0"/>
        <c:axPos val="l"/>
        <c:majorTickMark val="none"/>
        <c:minorTickMark val="none"/>
        <c:tickLblPos val="nextTo"/>
        <c:txPr>
          <a:bodyPr/>
          <a:lstStyle/>
          <a:p>
            <a:pPr>
              <a:defRPr sz="900"/>
            </a:pPr>
            <a:endParaRPr lang="en-US"/>
          </a:p>
        </c:txPr>
        <c:crossAx val="2056919704"/>
        <c:crosses val="autoZero"/>
        <c:auto val="1"/>
        <c:lblAlgn val="ctr"/>
        <c:lblOffset val="100"/>
        <c:noMultiLvlLbl val="0"/>
      </c:catAx>
      <c:valAx>
        <c:axId val="2056919704"/>
        <c:scaling>
          <c:orientation val="minMax"/>
          <c:max val="1.0"/>
        </c:scaling>
        <c:delete val="0"/>
        <c:axPos val="t"/>
        <c:majorGridlines/>
        <c:numFmt formatCode="0%" sourceLinked="1"/>
        <c:majorTickMark val="none"/>
        <c:minorTickMark val="none"/>
        <c:tickLblPos val="nextTo"/>
        <c:txPr>
          <a:bodyPr/>
          <a:lstStyle/>
          <a:p>
            <a:pPr>
              <a:defRPr sz="800"/>
            </a:pPr>
            <a:endParaRPr lang="en-US"/>
          </a:p>
        </c:txPr>
        <c:crossAx val="2056916616"/>
        <c:crosses val="autoZero"/>
        <c:crossBetween val="between"/>
        <c:majorUnit val="0.2"/>
      </c:valAx>
      <c:spPr>
        <a:ln>
          <a:solidFill>
            <a:schemeClr val="tx1"/>
          </a:solidFill>
        </a:ln>
      </c:spPr>
    </c:plotArea>
    <c:legend>
      <c:legendPos val="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mj-lt"/>
              </a:defRPr>
            </a:pPr>
            <a:r>
              <a:rPr lang="en-US" sz="1000">
                <a:latin typeface="+mj-lt"/>
              </a:rPr>
              <a:t>Use</a:t>
            </a:r>
            <a:r>
              <a:rPr lang="en-US" sz="1000" baseline="0">
                <a:latin typeface="+mj-lt"/>
              </a:rPr>
              <a:t> of CWF</a:t>
            </a:r>
            <a:endParaRPr lang="en-US" sz="1000">
              <a:latin typeface="+mj-lt"/>
            </a:endParaRPr>
          </a:p>
        </c:rich>
      </c:tx>
      <c:layout>
        <c:manualLayout>
          <c:xMode val="edge"/>
          <c:yMode val="edge"/>
          <c:x val="0.028325678040245"/>
          <c:y val="0.0416666666666667"/>
        </c:manualLayout>
      </c:layout>
      <c:overlay val="0"/>
    </c:title>
    <c:autoTitleDeleted val="0"/>
    <c:plotArea>
      <c:layout>
        <c:manualLayout>
          <c:layoutTarget val="inner"/>
          <c:xMode val="edge"/>
          <c:yMode val="edge"/>
          <c:x val="0.111720855132789"/>
          <c:y val="0.239272747156605"/>
          <c:w val="0.845003512377198"/>
          <c:h val="0.643381816856226"/>
        </c:manualLayout>
      </c:layout>
      <c:barChart>
        <c:barDir val="col"/>
        <c:grouping val="clustered"/>
        <c:varyColors val="0"/>
        <c:ser>
          <c:idx val="0"/>
          <c:order val="0"/>
          <c:tx>
            <c:strRef>
              <c:f>Location!$PA$439</c:f>
              <c:strCache>
                <c:ptCount val="1"/>
                <c:pt idx="0">
                  <c:v>Reported Use</c:v>
                </c:pt>
              </c:strCache>
            </c:strRef>
          </c:tx>
          <c:spPr>
            <a:solidFill>
              <a:schemeClr val="accent4">
                <a:lumMod val="75000"/>
              </a:schemeClr>
            </a:solidFill>
            <a:ln>
              <a:solidFill>
                <a:schemeClr val="tx1"/>
              </a:solidFill>
            </a:ln>
          </c:spPr>
          <c:invertIfNegative val="0"/>
          <c:dLbls>
            <c:txPr>
              <a:bodyPr/>
              <a:lstStyle/>
              <a:p>
                <a:pPr>
                  <a:defRPr sz="800"/>
                </a:pPr>
                <a:endParaRPr lang="en-US"/>
              </a:p>
            </c:txPr>
            <c:showLegendKey val="0"/>
            <c:showVal val="1"/>
            <c:showCatName val="0"/>
            <c:showSerName val="0"/>
            <c:showPercent val="0"/>
            <c:showBubbleSize val="0"/>
            <c:showLeaderLines val="0"/>
          </c:dLbls>
          <c:cat>
            <c:strRef>
              <c:f>Location!$OZ$440:$OZ$442</c:f>
              <c:strCache>
                <c:ptCount val="3"/>
                <c:pt idx="0">
                  <c:v>IDP Camp</c:v>
                </c:pt>
                <c:pt idx="1">
                  <c:v>Village</c:v>
                </c:pt>
                <c:pt idx="2">
                  <c:v>Total</c:v>
                </c:pt>
              </c:strCache>
            </c:strRef>
          </c:cat>
          <c:val>
            <c:numRef>
              <c:f>Location!$PA$440:$PA$442</c:f>
              <c:numCache>
                <c:formatCode>0%</c:formatCode>
                <c:ptCount val="3"/>
                <c:pt idx="0">
                  <c:v>0.704545454545454</c:v>
                </c:pt>
                <c:pt idx="1">
                  <c:v>0.447115384615385</c:v>
                </c:pt>
                <c:pt idx="2">
                  <c:v>0.579439252336449</c:v>
                </c:pt>
              </c:numCache>
            </c:numRef>
          </c:val>
        </c:ser>
        <c:ser>
          <c:idx val="1"/>
          <c:order val="1"/>
          <c:tx>
            <c:strRef>
              <c:f>Location!$PB$439</c:f>
              <c:strCache>
                <c:ptCount val="1"/>
                <c:pt idx="0">
                  <c:v>Observed Use</c:v>
                </c:pt>
              </c:strCache>
            </c:strRef>
          </c:tx>
          <c:spPr>
            <a:solidFill>
              <a:schemeClr val="accent6"/>
            </a:solidFill>
            <a:ln>
              <a:solidFill>
                <a:schemeClr val="tx1"/>
              </a:solidFill>
            </a:ln>
          </c:spPr>
          <c:invertIfNegative val="0"/>
          <c:dLbls>
            <c:txPr>
              <a:bodyPr/>
              <a:lstStyle/>
              <a:p>
                <a:pPr>
                  <a:defRPr sz="800" b="1"/>
                </a:pPr>
                <a:endParaRPr lang="en-US"/>
              </a:p>
            </c:txPr>
            <c:showLegendKey val="0"/>
            <c:showVal val="1"/>
            <c:showCatName val="0"/>
            <c:showSerName val="0"/>
            <c:showPercent val="0"/>
            <c:showBubbleSize val="0"/>
            <c:showLeaderLines val="0"/>
          </c:dLbls>
          <c:cat>
            <c:strRef>
              <c:f>Location!$OZ$440:$OZ$442</c:f>
              <c:strCache>
                <c:ptCount val="3"/>
                <c:pt idx="0">
                  <c:v>IDP Camp</c:v>
                </c:pt>
                <c:pt idx="1">
                  <c:v>Village</c:v>
                </c:pt>
                <c:pt idx="2">
                  <c:v>Total</c:v>
                </c:pt>
              </c:strCache>
            </c:strRef>
          </c:cat>
          <c:val>
            <c:numRef>
              <c:f>Location!$PB$440:$PB$442</c:f>
              <c:numCache>
                <c:formatCode>0%</c:formatCode>
                <c:ptCount val="3"/>
                <c:pt idx="0">
                  <c:v>0.613636363636364</c:v>
                </c:pt>
                <c:pt idx="1">
                  <c:v>0.370192307692308</c:v>
                </c:pt>
                <c:pt idx="2">
                  <c:v>0.495327102803738</c:v>
                </c:pt>
              </c:numCache>
            </c:numRef>
          </c:val>
        </c:ser>
        <c:dLbls>
          <c:showLegendKey val="0"/>
          <c:showVal val="0"/>
          <c:showCatName val="0"/>
          <c:showSerName val="0"/>
          <c:showPercent val="0"/>
          <c:showBubbleSize val="0"/>
        </c:dLbls>
        <c:gapWidth val="150"/>
        <c:axId val="2093621656"/>
        <c:axId val="2093624712"/>
      </c:barChart>
      <c:catAx>
        <c:axId val="2093621656"/>
        <c:scaling>
          <c:orientation val="minMax"/>
        </c:scaling>
        <c:delete val="0"/>
        <c:axPos val="b"/>
        <c:majorTickMark val="none"/>
        <c:minorTickMark val="none"/>
        <c:tickLblPos val="nextTo"/>
        <c:txPr>
          <a:bodyPr/>
          <a:lstStyle/>
          <a:p>
            <a:pPr>
              <a:defRPr sz="900">
                <a:latin typeface="+mj-lt"/>
              </a:defRPr>
            </a:pPr>
            <a:endParaRPr lang="en-US"/>
          </a:p>
        </c:txPr>
        <c:crossAx val="2093624712"/>
        <c:crosses val="autoZero"/>
        <c:auto val="1"/>
        <c:lblAlgn val="ctr"/>
        <c:lblOffset val="100"/>
        <c:noMultiLvlLbl val="0"/>
      </c:catAx>
      <c:valAx>
        <c:axId val="2093624712"/>
        <c:scaling>
          <c:orientation val="minMax"/>
        </c:scaling>
        <c:delete val="0"/>
        <c:axPos val="l"/>
        <c:majorGridlines/>
        <c:numFmt formatCode="0%" sourceLinked="1"/>
        <c:majorTickMark val="none"/>
        <c:minorTickMark val="none"/>
        <c:tickLblPos val="nextTo"/>
        <c:txPr>
          <a:bodyPr/>
          <a:lstStyle/>
          <a:p>
            <a:pPr>
              <a:defRPr sz="800"/>
            </a:pPr>
            <a:endParaRPr lang="en-US"/>
          </a:p>
        </c:txPr>
        <c:crossAx val="2093621656"/>
        <c:crosses val="autoZero"/>
        <c:crossBetween val="between"/>
        <c:majorUnit val="0.2"/>
      </c:valAx>
      <c:spPr>
        <a:ln>
          <a:solidFill>
            <a:schemeClr val="tx1"/>
          </a:solidFill>
        </a:ln>
      </c:spPr>
    </c:plotArea>
    <c:legend>
      <c:legendPos val="t"/>
      <c:layout>
        <c:manualLayout>
          <c:xMode val="edge"/>
          <c:yMode val="edge"/>
          <c:x val="0.414677709304871"/>
          <c:y val="0.00476190476190476"/>
          <c:w val="0.535637784790883"/>
          <c:h val="0.177632379285923"/>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Use of Filters</a:t>
            </a:r>
          </a:p>
        </c:rich>
      </c:tx>
      <c:layout>
        <c:manualLayout>
          <c:xMode val="edge"/>
          <c:yMode val="edge"/>
          <c:x val="0.0392561482040772"/>
          <c:y val="0.0350389019446291"/>
        </c:manualLayout>
      </c:layout>
      <c:overlay val="0"/>
    </c:title>
    <c:autoTitleDeleted val="0"/>
    <c:plotArea>
      <c:layout>
        <c:manualLayout>
          <c:layoutTarget val="inner"/>
          <c:xMode val="edge"/>
          <c:yMode val="edge"/>
          <c:x val="0.250432464135476"/>
          <c:y val="0.328587268712999"/>
          <c:w val="0.65261770574911"/>
          <c:h val="0.568021824505187"/>
        </c:manualLayout>
      </c:layout>
      <c:barChart>
        <c:barDir val="bar"/>
        <c:grouping val="stacked"/>
        <c:varyColors val="0"/>
        <c:ser>
          <c:idx val="0"/>
          <c:order val="0"/>
          <c:tx>
            <c:strRef>
              <c:f>Location!$DR$439</c:f>
              <c:strCache>
                <c:ptCount val="1"/>
                <c:pt idx="0">
                  <c:v>Ceramic Water Filter</c:v>
                </c:pt>
              </c:strCache>
            </c:strRef>
          </c:tx>
          <c:spPr>
            <a:solidFill>
              <a:srgbClr val="66FF66"/>
            </a:solidFill>
            <a:ln>
              <a:solidFill>
                <a:schemeClr val="tx1"/>
              </a:solidFill>
            </a:ln>
          </c:spPr>
          <c:invertIfNegative val="0"/>
          <c:dLbls>
            <c:dLbl>
              <c:idx val="0"/>
              <c:layout>
                <c:manualLayout>
                  <c:x val="0.0257769028871391"/>
                  <c:y val="-8.48755627201352E-17"/>
                </c:manualLayout>
              </c:layout>
              <c:dLblPos val="ctr"/>
              <c:showLegendKey val="0"/>
              <c:showVal val="1"/>
              <c:showCatName val="0"/>
              <c:showSerName val="0"/>
              <c:showPercent val="0"/>
              <c:showBubbleSize val="0"/>
            </c:dLbl>
            <c:dLbl>
              <c:idx val="1"/>
              <c:layout>
                <c:manualLayout>
                  <c:x val="0.0223639545056868"/>
                  <c:y val="0.0"/>
                </c:manualLayout>
              </c:layout>
              <c:dLblPos val="ctr"/>
              <c:showLegendKey val="0"/>
              <c:showVal val="1"/>
              <c:showCatName val="0"/>
              <c:showSerName val="0"/>
              <c:showPercent val="0"/>
              <c:showBubbleSize val="0"/>
            </c:dLbl>
            <c:dLbl>
              <c:idx val="2"/>
              <c:layout>
                <c:manualLayout>
                  <c:x val="0.0139418197725284"/>
                  <c:y val="-0.0185185185185185"/>
                </c:manualLayout>
              </c:layout>
              <c:dLblPos val="ctr"/>
              <c:showLegendKey val="0"/>
              <c:showVal val="1"/>
              <c:showCatName val="0"/>
              <c:showSerName val="0"/>
              <c:showPercent val="0"/>
              <c:showBubbleSize val="0"/>
            </c:dLbl>
            <c:txPr>
              <a:bodyPr/>
              <a:lstStyle/>
              <a:p>
                <a:pPr>
                  <a:defRPr sz="800">
                    <a:latin typeface="+mj-lt"/>
                  </a:defRPr>
                </a:pPr>
                <a:endParaRPr lang="en-US"/>
              </a:p>
            </c:txPr>
            <c:dLblPos val="inEnd"/>
            <c:showLegendKey val="0"/>
            <c:showVal val="1"/>
            <c:showCatName val="0"/>
            <c:showSerName val="0"/>
            <c:showPercent val="0"/>
            <c:showBubbleSize val="0"/>
            <c:showLeaderLines val="0"/>
          </c:dLbls>
          <c:cat>
            <c:strRef>
              <c:f>Location!$DQ$440:$DQ$442</c:f>
              <c:strCache>
                <c:ptCount val="3"/>
                <c:pt idx="0">
                  <c:v>IDP Camp</c:v>
                </c:pt>
                <c:pt idx="1">
                  <c:v>Village</c:v>
                </c:pt>
                <c:pt idx="2">
                  <c:v>TOTAL</c:v>
                </c:pt>
              </c:strCache>
            </c:strRef>
          </c:cat>
          <c:val>
            <c:numRef>
              <c:f>Location!$DR$440:$DR$442</c:f>
              <c:numCache>
                <c:formatCode>0%</c:formatCode>
                <c:ptCount val="3"/>
                <c:pt idx="0">
                  <c:v>0.704545454545454</c:v>
                </c:pt>
                <c:pt idx="1">
                  <c:v>0.447115384615385</c:v>
                </c:pt>
                <c:pt idx="2">
                  <c:v>0.579439252336449</c:v>
                </c:pt>
              </c:numCache>
            </c:numRef>
          </c:val>
        </c:ser>
        <c:ser>
          <c:idx val="1"/>
          <c:order val="1"/>
          <c:tx>
            <c:strRef>
              <c:f>Location!$DS$439</c:f>
              <c:strCache>
                <c:ptCount val="1"/>
                <c:pt idx="0">
                  <c:v>Traditional Cloth Filter</c:v>
                </c:pt>
              </c:strCache>
            </c:strRef>
          </c:tx>
          <c:spPr>
            <a:solidFill>
              <a:srgbClr val="66FFFF"/>
            </a:solidFill>
            <a:ln>
              <a:solidFill>
                <a:schemeClr val="tx1"/>
              </a:solidFill>
            </a:ln>
          </c:spPr>
          <c:invertIfNegative val="0"/>
          <c:dLbls>
            <c:txPr>
              <a:bodyPr/>
              <a:lstStyle/>
              <a:p>
                <a:pPr>
                  <a:defRPr sz="800"/>
                </a:pPr>
                <a:endParaRPr lang="en-US"/>
              </a:p>
            </c:txPr>
            <c:showLegendKey val="0"/>
            <c:showVal val="1"/>
            <c:showCatName val="0"/>
            <c:showSerName val="0"/>
            <c:showPercent val="0"/>
            <c:showBubbleSize val="0"/>
            <c:showLeaderLines val="0"/>
          </c:dLbls>
          <c:cat>
            <c:strRef>
              <c:f>Location!$DQ$440:$DQ$442</c:f>
              <c:strCache>
                <c:ptCount val="3"/>
                <c:pt idx="0">
                  <c:v>IDP Camp</c:v>
                </c:pt>
                <c:pt idx="1">
                  <c:v>Village</c:v>
                </c:pt>
                <c:pt idx="2">
                  <c:v>TOTAL</c:v>
                </c:pt>
              </c:strCache>
            </c:strRef>
          </c:cat>
          <c:val>
            <c:numRef>
              <c:f>Location!$DS$440:$DS$442</c:f>
              <c:numCache>
                <c:formatCode>0%</c:formatCode>
                <c:ptCount val="3"/>
                <c:pt idx="0">
                  <c:v>0.236363636363636</c:v>
                </c:pt>
                <c:pt idx="1">
                  <c:v>0.533653846153846</c:v>
                </c:pt>
                <c:pt idx="2">
                  <c:v>0.380841121495327</c:v>
                </c:pt>
              </c:numCache>
            </c:numRef>
          </c:val>
        </c:ser>
        <c:ser>
          <c:idx val="2"/>
          <c:order val="2"/>
          <c:tx>
            <c:strRef>
              <c:f>Location!$DT$439</c:f>
              <c:strCache>
                <c:ptCount val="1"/>
                <c:pt idx="0">
                  <c:v>Don't know</c:v>
                </c:pt>
              </c:strCache>
            </c:strRef>
          </c:tx>
          <c:spPr>
            <a:solidFill>
              <a:srgbClr val="FF0000"/>
            </a:solidFill>
            <a:ln>
              <a:solidFill>
                <a:schemeClr val="tx1"/>
              </a:solidFill>
            </a:ln>
          </c:spPr>
          <c:invertIfNegative val="0"/>
          <c:cat>
            <c:strRef>
              <c:f>Location!$DQ$440:$DQ$442</c:f>
              <c:strCache>
                <c:ptCount val="3"/>
                <c:pt idx="0">
                  <c:v>IDP Camp</c:v>
                </c:pt>
                <c:pt idx="1">
                  <c:v>Village</c:v>
                </c:pt>
                <c:pt idx="2">
                  <c:v>TOTAL</c:v>
                </c:pt>
              </c:strCache>
            </c:strRef>
          </c:cat>
          <c:val>
            <c:numRef>
              <c:f>Location!$DT$440:$DT$442</c:f>
              <c:numCache>
                <c:formatCode>0%</c:formatCode>
                <c:ptCount val="3"/>
                <c:pt idx="0">
                  <c:v>0.0272727272727273</c:v>
                </c:pt>
                <c:pt idx="1">
                  <c:v>0.0288461538461538</c:v>
                </c:pt>
                <c:pt idx="2">
                  <c:v>0.0280373831775701</c:v>
                </c:pt>
              </c:numCache>
            </c:numRef>
          </c:val>
        </c:ser>
        <c:dLbls>
          <c:showLegendKey val="0"/>
          <c:showVal val="0"/>
          <c:showCatName val="0"/>
          <c:showSerName val="0"/>
          <c:showPercent val="0"/>
          <c:showBubbleSize val="0"/>
        </c:dLbls>
        <c:gapWidth val="55"/>
        <c:overlap val="100"/>
        <c:axId val="2091809272"/>
        <c:axId val="2091812392"/>
      </c:barChart>
      <c:catAx>
        <c:axId val="2091809272"/>
        <c:scaling>
          <c:orientation val="minMax"/>
        </c:scaling>
        <c:delete val="0"/>
        <c:axPos val="l"/>
        <c:majorTickMark val="none"/>
        <c:minorTickMark val="none"/>
        <c:tickLblPos val="nextTo"/>
        <c:txPr>
          <a:bodyPr/>
          <a:lstStyle/>
          <a:p>
            <a:pPr>
              <a:defRPr>
                <a:latin typeface="+mj-lt"/>
              </a:defRPr>
            </a:pPr>
            <a:endParaRPr lang="en-US"/>
          </a:p>
        </c:txPr>
        <c:crossAx val="2091812392"/>
        <c:crosses val="autoZero"/>
        <c:auto val="1"/>
        <c:lblAlgn val="ctr"/>
        <c:lblOffset val="100"/>
        <c:noMultiLvlLbl val="0"/>
      </c:catAx>
      <c:valAx>
        <c:axId val="2091812392"/>
        <c:scaling>
          <c:orientation val="minMax"/>
          <c:max val="1.0"/>
        </c:scaling>
        <c:delete val="0"/>
        <c:axPos val="b"/>
        <c:majorGridlines/>
        <c:numFmt formatCode="0%" sourceLinked="1"/>
        <c:majorTickMark val="none"/>
        <c:minorTickMark val="none"/>
        <c:tickLblPos val="nextTo"/>
        <c:txPr>
          <a:bodyPr/>
          <a:lstStyle/>
          <a:p>
            <a:pPr>
              <a:defRPr sz="800"/>
            </a:pPr>
            <a:endParaRPr lang="en-US"/>
          </a:p>
        </c:txPr>
        <c:crossAx val="2091809272"/>
        <c:crosses val="autoZero"/>
        <c:crossBetween val="between"/>
      </c:valAx>
      <c:spPr>
        <a:ln>
          <a:solidFill>
            <a:schemeClr val="tx1"/>
          </a:solidFill>
        </a:ln>
      </c:spPr>
    </c:plotArea>
    <c:legend>
      <c:legendPos val="t"/>
      <c:layout>
        <c:manualLayout>
          <c:xMode val="edge"/>
          <c:yMode val="edge"/>
          <c:x val="0.449522090988626"/>
          <c:y val="0.0356718192627824"/>
          <c:w val="0.509441403300615"/>
          <c:h val="0.237014224028448"/>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tx>
            <c:strRef>
              <c:f>Location!$DU$440</c:f>
              <c:strCache>
                <c:ptCount val="1"/>
                <c:pt idx="0">
                  <c:v>IDP Camp</c:v>
                </c:pt>
              </c:strCache>
            </c:strRef>
          </c:tx>
          <c:spPr>
            <a:solidFill>
              <a:srgbClr val="FFFF00"/>
            </a:solidFill>
            <a:ln>
              <a:solidFill>
                <a:schemeClr val="tx1"/>
              </a:solidFill>
            </a:ln>
          </c:spPr>
          <c:invertIfNegative val="0"/>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dLbl>
              <c:idx val="2"/>
              <c:layout/>
              <c:showLegendKey val="0"/>
              <c:showVal val="1"/>
              <c:showCatName val="0"/>
              <c:showSerName val="0"/>
              <c:showPercent val="0"/>
              <c:showBubbleSize val="0"/>
            </c:dLbl>
            <c:txPr>
              <a:bodyPr/>
              <a:lstStyle/>
              <a:p>
                <a:pPr>
                  <a:defRPr sz="800" b="1"/>
                </a:pPr>
                <a:endParaRPr lang="en-US"/>
              </a:p>
            </c:txPr>
            <c:showLegendKey val="0"/>
            <c:showVal val="0"/>
            <c:showCatName val="0"/>
            <c:showSerName val="0"/>
            <c:showPercent val="0"/>
            <c:showBubbleSize val="0"/>
          </c:dLbls>
          <c:cat>
            <c:strRef>
              <c:f>Location!$DV$439:$EB$439</c:f>
              <c:strCache>
                <c:ptCount val="7"/>
                <c:pt idx="0">
                  <c:v>Good for Health</c:v>
                </c:pt>
                <c:pt idx="1">
                  <c:v>Provides SAFE/CLEAN water</c:v>
                </c:pt>
                <c:pt idx="2">
                  <c:v>Kills germs / bacteria</c:v>
                </c:pt>
                <c:pt idx="3">
                  <c:v>Easy to clean</c:v>
                </c:pt>
                <c:pt idx="4">
                  <c:v>Convenience</c:v>
                </c:pt>
                <c:pt idx="5">
                  <c:v>Prevents illnesses</c:v>
                </c:pt>
                <c:pt idx="6">
                  <c:v>OTHER</c:v>
                </c:pt>
              </c:strCache>
            </c:strRef>
          </c:cat>
          <c:val>
            <c:numRef>
              <c:f>Location!$DV$440:$EB$440</c:f>
              <c:numCache>
                <c:formatCode>0%</c:formatCode>
                <c:ptCount val="7"/>
                <c:pt idx="0">
                  <c:v>0.395454545454545</c:v>
                </c:pt>
                <c:pt idx="1">
                  <c:v>0.304545454545454</c:v>
                </c:pt>
                <c:pt idx="2">
                  <c:v>0.113636363636364</c:v>
                </c:pt>
                <c:pt idx="3">
                  <c:v>0.0590909090909091</c:v>
                </c:pt>
                <c:pt idx="4">
                  <c:v>0.0318181818181818</c:v>
                </c:pt>
                <c:pt idx="5">
                  <c:v>0.0181818181818182</c:v>
                </c:pt>
                <c:pt idx="6">
                  <c:v>0.0227272727272727</c:v>
                </c:pt>
              </c:numCache>
            </c:numRef>
          </c:val>
        </c:ser>
        <c:ser>
          <c:idx val="1"/>
          <c:order val="1"/>
          <c:tx>
            <c:strRef>
              <c:f>Location!$DU$441</c:f>
              <c:strCache>
                <c:ptCount val="1"/>
                <c:pt idx="0">
                  <c:v>Village</c:v>
                </c:pt>
              </c:strCache>
            </c:strRef>
          </c:tx>
          <c:spPr>
            <a:solidFill>
              <a:schemeClr val="tx2"/>
            </a:solidFill>
            <a:ln>
              <a:solidFill>
                <a:schemeClr val="tx1"/>
              </a:solidFill>
            </a:ln>
          </c:spPr>
          <c:invertIfNegative val="0"/>
          <c:cat>
            <c:strRef>
              <c:f>Location!$DV$439:$EB$439</c:f>
              <c:strCache>
                <c:ptCount val="7"/>
                <c:pt idx="0">
                  <c:v>Good for Health</c:v>
                </c:pt>
                <c:pt idx="1">
                  <c:v>Provides SAFE/CLEAN water</c:v>
                </c:pt>
                <c:pt idx="2">
                  <c:v>Kills germs / bacteria</c:v>
                </c:pt>
                <c:pt idx="3">
                  <c:v>Easy to clean</c:v>
                </c:pt>
                <c:pt idx="4">
                  <c:v>Convenience</c:v>
                </c:pt>
                <c:pt idx="5">
                  <c:v>Prevents illnesses</c:v>
                </c:pt>
                <c:pt idx="6">
                  <c:v>OTHER</c:v>
                </c:pt>
              </c:strCache>
            </c:strRef>
          </c:cat>
          <c:val>
            <c:numRef>
              <c:f>Location!$DV$441:$EB$441</c:f>
              <c:numCache>
                <c:formatCode>0%</c:formatCode>
                <c:ptCount val="7"/>
                <c:pt idx="0">
                  <c:v>0.221153846153846</c:v>
                </c:pt>
                <c:pt idx="1">
                  <c:v>0.225961538461538</c:v>
                </c:pt>
                <c:pt idx="2">
                  <c:v>0.0625</c:v>
                </c:pt>
                <c:pt idx="3">
                  <c:v>0.0384615384615385</c:v>
                </c:pt>
                <c:pt idx="4">
                  <c:v>0.0336538461538462</c:v>
                </c:pt>
                <c:pt idx="5">
                  <c:v>0.00480769230769231</c:v>
                </c:pt>
                <c:pt idx="6">
                  <c:v>0.00480769230769231</c:v>
                </c:pt>
              </c:numCache>
            </c:numRef>
          </c:val>
        </c:ser>
        <c:dLbls>
          <c:showLegendKey val="0"/>
          <c:showVal val="0"/>
          <c:showCatName val="0"/>
          <c:showSerName val="0"/>
          <c:showPercent val="0"/>
          <c:showBubbleSize val="0"/>
        </c:dLbls>
        <c:gapWidth val="50"/>
        <c:axId val="2094156104"/>
        <c:axId val="2094158760"/>
      </c:barChart>
      <c:catAx>
        <c:axId val="2094156104"/>
        <c:scaling>
          <c:orientation val="maxMin"/>
        </c:scaling>
        <c:delete val="1"/>
        <c:axPos val="l"/>
        <c:majorTickMark val="out"/>
        <c:minorTickMark val="none"/>
        <c:tickLblPos val="nextTo"/>
        <c:crossAx val="2094158760"/>
        <c:crosses val="autoZero"/>
        <c:auto val="1"/>
        <c:lblAlgn val="ctr"/>
        <c:lblOffset val="100"/>
        <c:noMultiLvlLbl val="0"/>
      </c:catAx>
      <c:valAx>
        <c:axId val="2094158760"/>
        <c:scaling>
          <c:orientation val="minMax"/>
        </c:scaling>
        <c:delete val="0"/>
        <c:axPos val="t"/>
        <c:majorGridlines/>
        <c:numFmt formatCode="0%" sourceLinked="1"/>
        <c:majorTickMark val="out"/>
        <c:minorTickMark val="none"/>
        <c:tickLblPos val="nextTo"/>
        <c:txPr>
          <a:bodyPr/>
          <a:lstStyle/>
          <a:p>
            <a:pPr>
              <a:defRPr sz="800"/>
            </a:pPr>
            <a:endParaRPr lang="en-US"/>
          </a:p>
        </c:txPr>
        <c:crossAx val="2094156104"/>
        <c:crosses val="autoZero"/>
        <c:crossBetween val="between"/>
      </c:valAx>
      <c:spPr>
        <a:ln>
          <a:solidFill>
            <a:schemeClr val="tx1"/>
          </a:solidFill>
        </a:ln>
      </c:spPr>
    </c:plotArea>
    <c:legend>
      <c:legendPos val="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Reasons</a:t>
            </a:r>
            <a:r>
              <a:rPr lang="en-US" sz="1000" baseline="0">
                <a:latin typeface="+mj-lt"/>
              </a:rPr>
              <a:t> for Liking CWF</a:t>
            </a:r>
            <a:endParaRPr lang="en-US" sz="1000">
              <a:latin typeface="+mj-lt"/>
            </a:endParaRPr>
          </a:p>
        </c:rich>
      </c:tx>
      <c:layout>
        <c:manualLayout>
          <c:xMode val="edge"/>
          <c:yMode val="edge"/>
          <c:x val="0.0571585988460303"/>
          <c:y val="0.0185185185185185"/>
        </c:manualLayout>
      </c:layout>
      <c:overlay val="0"/>
    </c:title>
    <c:autoTitleDeleted val="0"/>
    <c:plotArea>
      <c:layout/>
      <c:barChart>
        <c:barDir val="bar"/>
        <c:grouping val="clustered"/>
        <c:varyColors val="0"/>
        <c:ser>
          <c:idx val="2"/>
          <c:order val="0"/>
          <c:tx>
            <c:strRef>
              <c:f>Location!$DU$442</c:f>
              <c:strCache>
                <c:ptCount val="1"/>
                <c:pt idx="0">
                  <c:v>TOTAL</c:v>
                </c:pt>
              </c:strCache>
            </c:strRef>
          </c:tx>
          <c:spPr>
            <a:solidFill>
              <a:srgbClr val="008000"/>
            </a:solidFill>
            <a:ln>
              <a:solidFill>
                <a:schemeClr val="tx1"/>
              </a:solidFill>
            </a:ln>
          </c:spPr>
          <c:invertIfNegative val="0"/>
          <c:dPt>
            <c:idx val="6"/>
            <c:invertIfNegative val="0"/>
            <c:bubble3D val="0"/>
            <c:spPr>
              <a:solidFill>
                <a:srgbClr val="FF0000"/>
              </a:solidFill>
              <a:ln>
                <a:solidFill>
                  <a:schemeClr val="tx1"/>
                </a:solidFill>
              </a:ln>
            </c:spPr>
          </c:dPt>
          <c:dLbls>
            <c:txPr>
              <a:bodyPr/>
              <a:lstStyle/>
              <a:p>
                <a:pPr>
                  <a:defRPr sz="800" b="1">
                    <a:latin typeface="+mj-lt"/>
                  </a:defRPr>
                </a:pPr>
                <a:endParaRPr lang="en-US"/>
              </a:p>
            </c:txPr>
            <c:showLegendKey val="0"/>
            <c:showVal val="1"/>
            <c:showCatName val="0"/>
            <c:showSerName val="0"/>
            <c:showPercent val="0"/>
            <c:showBubbleSize val="0"/>
            <c:showLeaderLines val="0"/>
          </c:dLbls>
          <c:cat>
            <c:strRef>
              <c:f>Location!$DV$439:$EB$439</c:f>
              <c:strCache>
                <c:ptCount val="7"/>
                <c:pt idx="0">
                  <c:v>Good for Health</c:v>
                </c:pt>
                <c:pt idx="1">
                  <c:v>Provides SAFE/CLEAN water</c:v>
                </c:pt>
                <c:pt idx="2">
                  <c:v>Kills germs / bacteria</c:v>
                </c:pt>
                <c:pt idx="3">
                  <c:v>Easy to clean</c:v>
                </c:pt>
                <c:pt idx="4">
                  <c:v>Convenience</c:v>
                </c:pt>
                <c:pt idx="5">
                  <c:v>Prevents illnesses</c:v>
                </c:pt>
                <c:pt idx="6">
                  <c:v>OTHER</c:v>
                </c:pt>
              </c:strCache>
            </c:strRef>
          </c:cat>
          <c:val>
            <c:numRef>
              <c:f>Location!$DV$442:$EB$442</c:f>
              <c:numCache>
                <c:formatCode>0%</c:formatCode>
                <c:ptCount val="7"/>
                <c:pt idx="0">
                  <c:v>0.310747663551402</c:v>
                </c:pt>
                <c:pt idx="1">
                  <c:v>0.266355140186916</c:v>
                </c:pt>
                <c:pt idx="2">
                  <c:v>0.0887850467289719</c:v>
                </c:pt>
                <c:pt idx="3">
                  <c:v>0.0490654205607477</c:v>
                </c:pt>
                <c:pt idx="4">
                  <c:v>0.0327102803738318</c:v>
                </c:pt>
                <c:pt idx="5">
                  <c:v>0.0116822429906542</c:v>
                </c:pt>
                <c:pt idx="6">
                  <c:v>0.014018691588785</c:v>
                </c:pt>
              </c:numCache>
            </c:numRef>
          </c:val>
        </c:ser>
        <c:dLbls>
          <c:showLegendKey val="0"/>
          <c:showVal val="0"/>
          <c:showCatName val="0"/>
          <c:showSerName val="0"/>
          <c:showPercent val="0"/>
          <c:showBubbleSize val="0"/>
        </c:dLbls>
        <c:gapWidth val="50"/>
        <c:axId val="2096219496"/>
        <c:axId val="2096222536"/>
      </c:barChart>
      <c:catAx>
        <c:axId val="2096219496"/>
        <c:scaling>
          <c:orientation val="maxMin"/>
        </c:scaling>
        <c:delete val="0"/>
        <c:axPos val="r"/>
        <c:majorTickMark val="out"/>
        <c:minorTickMark val="none"/>
        <c:tickLblPos val="nextTo"/>
        <c:txPr>
          <a:bodyPr/>
          <a:lstStyle/>
          <a:p>
            <a:pPr>
              <a:defRPr sz="900">
                <a:latin typeface="+mj-lt"/>
              </a:defRPr>
            </a:pPr>
            <a:endParaRPr lang="en-US"/>
          </a:p>
        </c:txPr>
        <c:crossAx val="2096222536"/>
        <c:crosses val="autoZero"/>
        <c:auto val="1"/>
        <c:lblAlgn val="ctr"/>
        <c:lblOffset val="100"/>
        <c:noMultiLvlLbl val="0"/>
      </c:catAx>
      <c:valAx>
        <c:axId val="2096222536"/>
        <c:scaling>
          <c:orientation val="maxMin"/>
          <c:max val="0.4"/>
        </c:scaling>
        <c:delete val="0"/>
        <c:axPos val="t"/>
        <c:majorGridlines/>
        <c:numFmt formatCode="0%" sourceLinked="1"/>
        <c:majorTickMark val="out"/>
        <c:minorTickMark val="none"/>
        <c:tickLblPos val="nextTo"/>
        <c:txPr>
          <a:bodyPr/>
          <a:lstStyle/>
          <a:p>
            <a:pPr>
              <a:defRPr sz="800"/>
            </a:pPr>
            <a:endParaRPr lang="en-US"/>
          </a:p>
        </c:txPr>
        <c:crossAx val="2096219496"/>
        <c:crosses val="autoZero"/>
        <c:crossBetween val="between"/>
        <c:majorUnit val="0.1"/>
        <c:minorUnit val="0.05"/>
      </c:valAx>
      <c:spPr>
        <a:ln>
          <a:solidFill>
            <a:schemeClr val="tx1"/>
          </a:solidFill>
        </a:ln>
      </c:spPr>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3"/>
          <c:order val="0"/>
          <c:spPr>
            <a:solidFill>
              <a:srgbClr val="00FF80"/>
            </a:solidFill>
            <a:ln>
              <a:solidFill>
                <a:schemeClr val="tx1"/>
              </a:solidFill>
            </a:ln>
          </c:spPr>
          <c:dPt>
            <c:idx val="0"/>
            <c:bubble3D val="0"/>
            <c:spPr>
              <a:solidFill>
                <a:srgbClr val="00FFFF"/>
              </a:solidFill>
              <a:ln>
                <a:solidFill>
                  <a:schemeClr val="tx1"/>
                </a:solidFill>
              </a:ln>
            </c:spPr>
          </c:dPt>
          <c:dPt>
            <c:idx val="1"/>
            <c:bubble3D val="0"/>
            <c:spPr>
              <a:solidFill>
                <a:srgbClr val="FFFF00"/>
              </a:solidFill>
              <a:ln>
                <a:solidFill>
                  <a:schemeClr val="tx1"/>
                </a:solidFill>
              </a:ln>
            </c:spPr>
          </c:dPt>
          <c:dPt>
            <c:idx val="2"/>
            <c:bubble3D val="0"/>
            <c:spPr>
              <a:solidFill>
                <a:srgbClr val="FF0000"/>
              </a:solidFill>
              <a:ln>
                <a:solidFill>
                  <a:schemeClr val="tx1"/>
                </a:solidFill>
              </a:ln>
            </c:spPr>
          </c:dPt>
          <c:dPt>
            <c:idx val="3"/>
            <c:bubble3D val="0"/>
            <c:spPr>
              <a:solidFill>
                <a:srgbClr val="00FF00"/>
              </a:solidFill>
              <a:ln>
                <a:solidFill>
                  <a:schemeClr val="tx1"/>
                </a:solidFill>
              </a:ln>
            </c:spPr>
          </c:dPt>
          <c:dLbls>
            <c:dLbl>
              <c:idx val="0"/>
              <c:layout>
                <c:manualLayout>
                  <c:x val="0.176688226471691"/>
                  <c:y val="0.00425657319150895"/>
                </c:manualLayout>
              </c:layout>
              <c:tx>
                <c:rich>
                  <a:bodyPr/>
                  <a:lstStyle/>
                  <a:p>
                    <a:r>
                      <a:rPr lang="en-US" sz="800"/>
                      <a:t>Action Contre la Faim</a:t>
                    </a:r>
                  </a:p>
                  <a:p>
                    <a:r>
                      <a:rPr lang="en-US" sz="800"/>
                      <a:t>7% </a:t>
                    </a:r>
                  </a:p>
                </c:rich>
              </c:tx>
              <c:showLegendKey val="0"/>
              <c:showVal val="1"/>
              <c:showCatName val="1"/>
              <c:showSerName val="0"/>
              <c:showPercent val="0"/>
              <c:showBubbleSize val="0"/>
            </c:dLbl>
            <c:dLbl>
              <c:idx val="1"/>
              <c:layout>
                <c:manualLayout>
                  <c:x val="-0.0586372120151648"/>
                  <c:y val="0.230033322902306"/>
                </c:manualLayout>
              </c:layout>
              <c:tx>
                <c:rich>
                  <a:bodyPr/>
                  <a:lstStyle/>
                  <a:p>
                    <a:r>
                      <a:rPr lang="en-US" sz="800"/>
                      <a:t>Solidarites Internatonal</a:t>
                    </a:r>
                  </a:p>
                  <a:p>
                    <a:r>
                      <a:rPr lang="en-US" sz="800"/>
                      <a:t>45% </a:t>
                    </a:r>
                  </a:p>
                </c:rich>
              </c:tx>
              <c:showLegendKey val="0"/>
              <c:showVal val="1"/>
              <c:showCatName val="1"/>
              <c:showSerName val="0"/>
              <c:showPercent val="0"/>
              <c:showBubbleSize val="0"/>
            </c:dLbl>
            <c:dLbl>
              <c:idx val="2"/>
              <c:layout>
                <c:manualLayout>
                  <c:x val="0.0844469441319835"/>
                  <c:y val="0.150589400009209"/>
                </c:manualLayout>
              </c:layout>
              <c:tx>
                <c:rich>
                  <a:bodyPr/>
                  <a:lstStyle/>
                  <a:p>
                    <a:r>
                      <a:rPr lang="en-US" sz="800"/>
                      <a:t>Save the Children </a:t>
                    </a:r>
                  </a:p>
                  <a:p>
                    <a:r>
                      <a:rPr lang="en-US" sz="800"/>
                      <a:t>32%</a:t>
                    </a:r>
                  </a:p>
                </c:rich>
              </c:tx>
              <c:showLegendKey val="0"/>
              <c:showVal val="1"/>
              <c:showCatName val="1"/>
              <c:showSerName val="0"/>
              <c:showPercent val="0"/>
              <c:showBubbleSize val="0"/>
            </c:dLbl>
            <c:dLbl>
              <c:idx val="3"/>
              <c:layout>
                <c:manualLayout>
                  <c:x val="0.0036726659167604"/>
                  <c:y val="-0.043401022240641"/>
                </c:manualLayout>
              </c:layout>
              <c:tx>
                <c:rich>
                  <a:bodyPr/>
                  <a:lstStyle/>
                  <a:p>
                    <a:r>
                      <a:rPr lang="en-US" sz="800"/>
                      <a:t>Oxfam GB</a:t>
                    </a:r>
                  </a:p>
                  <a:p>
                    <a:r>
                      <a:rPr lang="en-US" sz="800"/>
                      <a:t>17% </a:t>
                    </a:r>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'KAP Sampling'!$M$33:$M$36</c:f>
              <c:strCache>
                <c:ptCount val="4"/>
                <c:pt idx="0">
                  <c:v>ACF</c:v>
                </c:pt>
                <c:pt idx="1">
                  <c:v>SI</c:v>
                </c:pt>
                <c:pt idx="2">
                  <c:v>SCI</c:v>
                </c:pt>
                <c:pt idx="3">
                  <c:v>OGB</c:v>
                </c:pt>
              </c:strCache>
            </c:strRef>
          </c:cat>
          <c:val>
            <c:numRef>
              <c:f>'KAP Sampling'!$Q$33:$Q$36</c:f>
              <c:numCache>
                <c:formatCode>#,##0_ ;\-#,##0\ </c:formatCode>
                <c:ptCount val="4"/>
                <c:pt idx="0">
                  <c:v>31.0</c:v>
                </c:pt>
                <c:pt idx="1">
                  <c:v>193.0</c:v>
                </c:pt>
                <c:pt idx="2">
                  <c:v>138.0</c:v>
                </c:pt>
                <c:pt idx="3">
                  <c:v>74.0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mj-lt"/>
              </a:defRPr>
            </a:pPr>
            <a:r>
              <a:rPr lang="en-US" sz="1000">
                <a:latin typeface="+mj-lt"/>
              </a:rPr>
              <a:t>Sufficient Quantity of Water</a:t>
            </a:r>
          </a:p>
        </c:rich>
      </c:tx>
      <c:layout>
        <c:manualLayout>
          <c:xMode val="edge"/>
          <c:yMode val="edge"/>
          <c:x val="0.0344074803149606"/>
          <c:y val="0.0509259259259259"/>
        </c:manualLayout>
      </c:layout>
      <c:overlay val="0"/>
    </c:title>
    <c:autoTitleDeleted val="0"/>
    <c:plotArea>
      <c:layout>
        <c:manualLayout>
          <c:layoutTarget val="inner"/>
          <c:xMode val="edge"/>
          <c:yMode val="edge"/>
          <c:x val="0.226579924460662"/>
          <c:y val="0.207006956492727"/>
          <c:w val="0.686174060559503"/>
          <c:h val="0.678180051381289"/>
        </c:manualLayout>
      </c:layout>
      <c:barChart>
        <c:barDir val="bar"/>
        <c:grouping val="stacked"/>
        <c:varyColors val="0"/>
        <c:ser>
          <c:idx val="0"/>
          <c:order val="0"/>
          <c:tx>
            <c:strRef>
              <c:f>Database!$EZ$456</c:f>
              <c:strCache>
                <c:ptCount val="1"/>
                <c:pt idx="0">
                  <c:v>YES</c:v>
                </c:pt>
              </c:strCache>
            </c:strRef>
          </c:tx>
          <c:spPr>
            <a:solidFill>
              <a:schemeClr val="accent6">
                <a:lumMod val="60000"/>
                <a:lumOff val="40000"/>
              </a:schemeClr>
            </a:solidFill>
            <a:ln>
              <a:solidFill>
                <a:schemeClr val="tx1"/>
              </a:solidFill>
            </a:ln>
          </c:spPr>
          <c:invertIfNegative val="0"/>
          <c:dLbls>
            <c:dLbl>
              <c:idx val="0"/>
              <c:layout>
                <c:manualLayout>
                  <c:x val="-0.0500521733563792"/>
                  <c:y val="-0.00529661016949152"/>
                </c:manualLayout>
              </c:layout>
              <c:dLblPos val="ctr"/>
              <c:showLegendKey val="0"/>
              <c:showVal val="1"/>
              <c:showCatName val="0"/>
              <c:showSerName val="0"/>
              <c:showPercent val="0"/>
              <c:showBubbleSize val="0"/>
            </c:dLbl>
            <c:dLbl>
              <c:idx val="1"/>
              <c:layout>
                <c:manualLayout>
                  <c:x val="-0.00674156584085526"/>
                  <c:y val="-0.00529702722541038"/>
                </c:manualLayout>
              </c:layout>
              <c:dLblPos val="ctr"/>
              <c:showLegendKey val="0"/>
              <c:showVal val="1"/>
              <c:showCatName val="0"/>
              <c:showSerName val="0"/>
              <c:showPercent val="0"/>
              <c:showBubbleSize val="0"/>
            </c:dLbl>
            <c:dLbl>
              <c:idx val="2"/>
              <c:layout>
                <c:manualLayout>
                  <c:x val="-0.0333026054669996"/>
                  <c:y val="-0.00529661016949152"/>
                </c:manualLayout>
              </c:layout>
              <c:dLblPos val="ctr"/>
              <c:showLegendKey val="0"/>
              <c:showVal val="1"/>
              <c:showCatName val="0"/>
              <c:showSerName val="0"/>
              <c:showPercent val="0"/>
              <c:showBubbleSize val="0"/>
            </c:dLbl>
            <c:txPr>
              <a:bodyPr/>
              <a:lstStyle/>
              <a:p>
                <a:pPr>
                  <a:defRPr sz="800" b="1">
                    <a:latin typeface="+mj-lt"/>
                  </a:defRPr>
                </a:pPr>
                <a:endParaRPr lang="en-US"/>
              </a:p>
            </c:txPr>
            <c:dLblPos val="inEnd"/>
            <c:showLegendKey val="0"/>
            <c:showVal val="1"/>
            <c:showCatName val="0"/>
            <c:showSerName val="0"/>
            <c:showPercent val="0"/>
            <c:showBubbleSize val="0"/>
            <c:showLeaderLines val="0"/>
          </c:dLbls>
          <c:cat>
            <c:strRef>
              <c:f>Database!$EY$457:$EY$459</c:f>
              <c:strCache>
                <c:ptCount val="3"/>
                <c:pt idx="0">
                  <c:v>IDP Camp</c:v>
                </c:pt>
                <c:pt idx="1">
                  <c:v>Village</c:v>
                </c:pt>
                <c:pt idx="2">
                  <c:v>TOTAL</c:v>
                </c:pt>
              </c:strCache>
            </c:strRef>
          </c:cat>
          <c:val>
            <c:numRef>
              <c:f>Database!$EZ$457:$EZ$459</c:f>
              <c:numCache>
                <c:formatCode>0%</c:formatCode>
                <c:ptCount val="3"/>
                <c:pt idx="0">
                  <c:v>0.896774193548387</c:v>
                </c:pt>
                <c:pt idx="1">
                  <c:v>0.774193548387097</c:v>
                </c:pt>
                <c:pt idx="2">
                  <c:v>0.850806451612903</c:v>
                </c:pt>
              </c:numCache>
            </c:numRef>
          </c:val>
        </c:ser>
        <c:ser>
          <c:idx val="1"/>
          <c:order val="1"/>
          <c:tx>
            <c:strRef>
              <c:f>Database!$FA$456</c:f>
              <c:strCache>
                <c:ptCount val="1"/>
                <c:pt idx="0">
                  <c:v>NO</c:v>
                </c:pt>
              </c:strCache>
            </c:strRef>
          </c:tx>
          <c:spPr>
            <a:solidFill>
              <a:schemeClr val="accent4">
                <a:lumMod val="75000"/>
              </a:schemeClr>
            </a:solidFill>
            <a:ln>
              <a:solidFill>
                <a:schemeClr val="tx1"/>
              </a:solidFill>
            </a:ln>
          </c:spPr>
          <c:invertIfNegative val="0"/>
          <c:cat>
            <c:strRef>
              <c:f>Database!$EY$457:$EY$459</c:f>
              <c:strCache>
                <c:ptCount val="3"/>
                <c:pt idx="0">
                  <c:v>IDP Camp</c:v>
                </c:pt>
                <c:pt idx="1">
                  <c:v>Village</c:v>
                </c:pt>
                <c:pt idx="2">
                  <c:v>TOTAL</c:v>
                </c:pt>
              </c:strCache>
            </c:strRef>
          </c:cat>
          <c:val>
            <c:numRef>
              <c:f>Database!$FA$457:$FA$459</c:f>
              <c:numCache>
                <c:formatCode>0%</c:formatCode>
                <c:ptCount val="3"/>
                <c:pt idx="0">
                  <c:v>0.0838709677419355</c:v>
                </c:pt>
                <c:pt idx="1">
                  <c:v>0.150537634408602</c:v>
                </c:pt>
                <c:pt idx="2">
                  <c:v>0.108870967741935</c:v>
                </c:pt>
              </c:numCache>
            </c:numRef>
          </c:val>
        </c:ser>
        <c:dLbls>
          <c:showLegendKey val="0"/>
          <c:showVal val="0"/>
          <c:showCatName val="0"/>
          <c:showSerName val="0"/>
          <c:showPercent val="0"/>
          <c:showBubbleSize val="0"/>
        </c:dLbls>
        <c:gapWidth val="55"/>
        <c:overlap val="100"/>
        <c:axId val="2096270712"/>
        <c:axId val="2096276104"/>
      </c:barChart>
      <c:catAx>
        <c:axId val="2096270712"/>
        <c:scaling>
          <c:orientation val="minMax"/>
        </c:scaling>
        <c:delete val="0"/>
        <c:axPos val="l"/>
        <c:majorTickMark val="none"/>
        <c:minorTickMark val="none"/>
        <c:tickLblPos val="nextTo"/>
        <c:txPr>
          <a:bodyPr/>
          <a:lstStyle/>
          <a:p>
            <a:pPr>
              <a:defRPr sz="900">
                <a:latin typeface="+mj-lt"/>
              </a:defRPr>
            </a:pPr>
            <a:endParaRPr lang="en-US"/>
          </a:p>
        </c:txPr>
        <c:crossAx val="2096276104"/>
        <c:crosses val="autoZero"/>
        <c:auto val="1"/>
        <c:lblAlgn val="ctr"/>
        <c:lblOffset val="100"/>
        <c:noMultiLvlLbl val="0"/>
      </c:catAx>
      <c:valAx>
        <c:axId val="2096276104"/>
        <c:scaling>
          <c:orientation val="minMax"/>
          <c:max val="1.0"/>
        </c:scaling>
        <c:delete val="0"/>
        <c:axPos val="b"/>
        <c:majorGridlines/>
        <c:numFmt formatCode="0%" sourceLinked="1"/>
        <c:majorTickMark val="none"/>
        <c:minorTickMark val="none"/>
        <c:tickLblPos val="nextTo"/>
        <c:txPr>
          <a:bodyPr/>
          <a:lstStyle/>
          <a:p>
            <a:pPr>
              <a:defRPr sz="800"/>
            </a:pPr>
            <a:endParaRPr lang="en-US"/>
          </a:p>
        </c:txPr>
        <c:crossAx val="2096270712"/>
        <c:crosses val="autoZero"/>
        <c:crossBetween val="between"/>
      </c:valAx>
      <c:spPr>
        <a:ln>
          <a:solidFill>
            <a:schemeClr val="tx1"/>
          </a:solidFill>
        </a:ln>
      </c:spPr>
    </c:plotArea>
    <c:legend>
      <c:legendPos val="t"/>
      <c:layout>
        <c:manualLayout>
          <c:xMode val="edge"/>
          <c:yMode val="edge"/>
          <c:x val="0.670858139683759"/>
          <c:y val="0.0416666666666667"/>
          <c:w val="0.240954484347993"/>
          <c:h val="0.107740951640702"/>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mj-lt"/>
              </a:defRPr>
            </a:pPr>
            <a:r>
              <a:rPr lang="en-US" sz="1000">
                <a:latin typeface="+mj-lt"/>
              </a:rPr>
              <a:t>Frequency of refilling CWF</a:t>
            </a:r>
          </a:p>
        </c:rich>
      </c:tx>
      <c:layout>
        <c:manualLayout>
          <c:xMode val="edge"/>
          <c:yMode val="edge"/>
          <c:x val="0.206669174470074"/>
          <c:y val="0.011037527593819"/>
        </c:manualLayout>
      </c:layout>
      <c:overlay val="0"/>
    </c:title>
    <c:autoTitleDeleted val="0"/>
    <c:plotArea>
      <c:layout>
        <c:manualLayout>
          <c:layoutTarget val="inner"/>
          <c:xMode val="edge"/>
          <c:yMode val="edge"/>
          <c:x val="0.160607643200444"/>
          <c:y val="0.154525386313466"/>
          <c:w val="0.779095510788424"/>
          <c:h val="0.672921555335384"/>
        </c:manualLayout>
      </c:layout>
      <c:barChart>
        <c:barDir val="col"/>
        <c:grouping val="clustered"/>
        <c:varyColors val="0"/>
        <c:ser>
          <c:idx val="2"/>
          <c:order val="0"/>
          <c:tx>
            <c:strRef>
              <c:f>Database!$ES$454</c:f>
              <c:strCache>
                <c:ptCount val="1"/>
                <c:pt idx="0">
                  <c:v>TOTAL</c:v>
                </c:pt>
              </c:strCache>
            </c:strRef>
          </c:tx>
          <c:spPr>
            <a:solidFill>
              <a:srgbClr val="008000"/>
            </a:solidFill>
            <a:ln>
              <a:solidFill>
                <a:schemeClr val="tx1"/>
              </a:solidFill>
            </a:ln>
          </c:spPr>
          <c:invertIfNegative val="0"/>
          <c:dLbls>
            <c:txPr>
              <a:bodyPr/>
              <a:lstStyle/>
              <a:p>
                <a:pPr>
                  <a:defRPr sz="800" b="1">
                    <a:latin typeface="+mj-lt"/>
                  </a:defRPr>
                </a:pPr>
                <a:endParaRPr lang="en-US"/>
              </a:p>
            </c:txPr>
            <c:showLegendKey val="0"/>
            <c:showVal val="1"/>
            <c:showCatName val="0"/>
            <c:showSerName val="0"/>
            <c:showPercent val="0"/>
            <c:showBubbleSize val="0"/>
            <c:showLeaderLines val="0"/>
          </c:dLbls>
          <c:cat>
            <c:strRef>
              <c:f>Database!$ET$451:$EV$451</c:f>
              <c:strCache>
                <c:ptCount val="3"/>
                <c:pt idx="0">
                  <c:v>2/3 Times a day </c:v>
                </c:pt>
                <c:pt idx="1">
                  <c:v>3/5 times a day</c:v>
                </c:pt>
                <c:pt idx="2">
                  <c:v>more than 5 times a day</c:v>
                </c:pt>
              </c:strCache>
            </c:strRef>
          </c:cat>
          <c:val>
            <c:numRef>
              <c:f>Database!$ET$454:$EV$454</c:f>
              <c:numCache>
                <c:formatCode>0%</c:formatCode>
                <c:ptCount val="3"/>
                <c:pt idx="0">
                  <c:v>0.879032258064516</c:v>
                </c:pt>
                <c:pt idx="1">
                  <c:v>0.0725806451612903</c:v>
                </c:pt>
                <c:pt idx="2">
                  <c:v>0.0161290322580645</c:v>
                </c:pt>
              </c:numCache>
            </c:numRef>
          </c:val>
        </c:ser>
        <c:dLbls>
          <c:showLegendKey val="0"/>
          <c:showVal val="0"/>
          <c:showCatName val="0"/>
          <c:showSerName val="0"/>
          <c:showPercent val="0"/>
          <c:showBubbleSize val="0"/>
        </c:dLbls>
        <c:gapWidth val="150"/>
        <c:axId val="2096312984"/>
        <c:axId val="2096316040"/>
      </c:barChart>
      <c:catAx>
        <c:axId val="2096312984"/>
        <c:scaling>
          <c:orientation val="minMax"/>
        </c:scaling>
        <c:delete val="0"/>
        <c:axPos val="b"/>
        <c:majorTickMark val="out"/>
        <c:minorTickMark val="none"/>
        <c:tickLblPos val="nextTo"/>
        <c:txPr>
          <a:bodyPr/>
          <a:lstStyle/>
          <a:p>
            <a:pPr>
              <a:defRPr sz="800">
                <a:latin typeface="+mj-lt"/>
              </a:defRPr>
            </a:pPr>
            <a:endParaRPr lang="en-US"/>
          </a:p>
        </c:txPr>
        <c:crossAx val="2096316040"/>
        <c:crosses val="autoZero"/>
        <c:auto val="1"/>
        <c:lblAlgn val="ctr"/>
        <c:lblOffset val="100"/>
        <c:noMultiLvlLbl val="0"/>
      </c:catAx>
      <c:valAx>
        <c:axId val="2096316040"/>
        <c:scaling>
          <c:orientation val="minMax"/>
        </c:scaling>
        <c:delete val="0"/>
        <c:axPos val="l"/>
        <c:majorGridlines/>
        <c:numFmt formatCode="0%" sourceLinked="1"/>
        <c:majorTickMark val="out"/>
        <c:minorTickMark val="none"/>
        <c:tickLblPos val="nextTo"/>
        <c:txPr>
          <a:bodyPr/>
          <a:lstStyle/>
          <a:p>
            <a:pPr>
              <a:defRPr sz="800"/>
            </a:pPr>
            <a:endParaRPr lang="en-US"/>
          </a:p>
        </c:txPr>
        <c:crossAx val="2096312984"/>
        <c:crosses val="autoZero"/>
        <c:crossBetween val="between"/>
        <c:majorUnit val="0.2"/>
      </c:valAx>
      <c:spPr>
        <a:ln>
          <a:solidFill>
            <a:schemeClr val="tx1"/>
          </a:solidFill>
        </a:ln>
      </c:spPr>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latin typeface="+mj-lt"/>
              </a:defRPr>
            </a:pPr>
            <a:r>
              <a:rPr lang="en-US" sz="1000">
                <a:latin typeface="+mj-lt"/>
              </a:rPr>
              <a:t>Behaviour</a:t>
            </a:r>
            <a:r>
              <a:rPr lang="en-US" sz="1000" baseline="0">
                <a:latin typeface="+mj-lt"/>
              </a:rPr>
              <a:t> when there is No Filtered Water (n = 248)</a:t>
            </a:r>
            <a:endParaRPr lang="en-US" sz="1000">
              <a:latin typeface="+mj-lt"/>
            </a:endParaRPr>
          </a:p>
        </c:rich>
      </c:tx>
      <c:layout>
        <c:manualLayout>
          <c:xMode val="edge"/>
          <c:yMode val="edge"/>
          <c:x val="0.084266404199475"/>
          <c:y val="0.0416666666666667"/>
        </c:manualLayout>
      </c:layout>
      <c:overlay val="0"/>
    </c:title>
    <c:autoTitleDeleted val="0"/>
    <c:plotArea>
      <c:layout/>
      <c:barChart>
        <c:barDir val="bar"/>
        <c:grouping val="clustered"/>
        <c:varyColors val="0"/>
        <c:ser>
          <c:idx val="0"/>
          <c:order val="0"/>
          <c:tx>
            <c:strRef>
              <c:f>Location!$EV$463</c:f>
              <c:strCache>
                <c:ptCount val="1"/>
                <c:pt idx="0">
                  <c:v>TOTAL</c:v>
                </c:pt>
              </c:strCache>
            </c:strRef>
          </c:tx>
          <c:spPr>
            <a:solidFill>
              <a:srgbClr val="008000"/>
            </a:solidFill>
            <a:ln>
              <a:solidFill>
                <a:schemeClr val="tx1"/>
              </a:solidFill>
            </a:ln>
          </c:spPr>
          <c:invertIfNegative val="0"/>
          <c:dPt>
            <c:idx val="6"/>
            <c:invertIfNegative val="0"/>
            <c:bubble3D val="0"/>
            <c:spPr>
              <a:solidFill>
                <a:srgbClr val="FF0000"/>
              </a:solidFill>
              <a:ln>
                <a:solidFill>
                  <a:schemeClr val="tx1"/>
                </a:solidFill>
              </a:ln>
            </c:spPr>
          </c:dPt>
          <c:dPt>
            <c:idx val="7"/>
            <c:invertIfNegative val="0"/>
            <c:bubble3D val="0"/>
            <c:spPr>
              <a:solidFill>
                <a:srgbClr val="FF0000"/>
              </a:solidFill>
              <a:ln>
                <a:solidFill>
                  <a:schemeClr val="tx1"/>
                </a:solidFill>
              </a:ln>
            </c:spPr>
          </c:dPt>
          <c:dLbls>
            <c:txPr>
              <a:bodyPr/>
              <a:lstStyle/>
              <a:p>
                <a:pPr>
                  <a:defRPr sz="800" b="1"/>
                </a:pPr>
                <a:endParaRPr lang="en-US"/>
              </a:p>
            </c:txPr>
            <c:showLegendKey val="0"/>
            <c:showVal val="1"/>
            <c:showCatName val="0"/>
            <c:showSerName val="0"/>
            <c:showPercent val="0"/>
            <c:showBubbleSize val="0"/>
            <c:showLeaderLines val="0"/>
          </c:dLbls>
          <c:cat>
            <c:strRef>
              <c:f>Location!$EW$462:$FC$462</c:f>
              <c:strCache>
                <c:ptCount val="7"/>
                <c:pt idx="0">
                  <c:v>Borrow from Neighbour</c:v>
                </c:pt>
                <c:pt idx="1">
                  <c:v>Wait until FILTERED WATER is available</c:v>
                </c:pt>
                <c:pt idx="2">
                  <c:v>Drink from HH collection container</c:v>
                </c:pt>
                <c:pt idx="3">
                  <c:v>Buy BOTTLED WATER</c:v>
                </c:pt>
                <c:pt idx="4">
                  <c:v>Drink direct from water source</c:v>
                </c:pt>
                <c:pt idx="5">
                  <c:v>Drink nearest available water</c:v>
                </c:pt>
                <c:pt idx="6">
                  <c:v>No Answer</c:v>
                </c:pt>
              </c:strCache>
            </c:strRef>
          </c:cat>
          <c:val>
            <c:numRef>
              <c:f>Location!$EW$463:$FC$463</c:f>
              <c:numCache>
                <c:formatCode>0%</c:formatCode>
                <c:ptCount val="7"/>
                <c:pt idx="0">
                  <c:v>0.314516129032258</c:v>
                </c:pt>
                <c:pt idx="1">
                  <c:v>0.254032258064516</c:v>
                </c:pt>
                <c:pt idx="2">
                  <c:v>0.173387096774194</c:v>
                </c:pt>
                <c:pt idx="3">
                  <c:v>0.0524193548387097</c:v>
                </c:pt>
                <c:pt idx="4">
                  <c:v>0.0362903225806451</c:v>
                </c:pt>
                <c:pt idx="5">
                  <c:v>0.032258064516129</c:v>
                </c:pt>
                <c:pt idx="6">
                  <c:v>0.161290322580645</c:v>
                </c:pt>
              </c:numCache>
            </c:numRef>
          </c:val>
        </c:ser>
        <c:dLbls>
          <c:showLegendKey val="0"/>
          <c:showVal val="0"/>
          <c:showCatName val="0"/>
          <c:showSerName val="0"/>
          <c:showPercent val="0"/>
          <c:showBubbleSize val="0"/>
        </c:dLbls>
        <c:gapWidth val="50"/>
        <c:axId val="2096363720"/>
        <c:axId val="2096369128"/>
      </c:barChart>
      <c:catAx>
        <c:axId val="2096363720"/>
        <c:scaling>
          <c:orientation val="maxMin"/>
        </c:scaling>
        <c:delete val="0"/>
        <c:axPos val="l"/>
        <c:majorTickMark val="out"/>
        <c:minorTickMark val="none"/>
        <c:tickLblPos val="nextTo"/>
        <c:txPr>
          <a:bodyPr/>
          <a:lstStyle/>
          <a:p>
            <a:pPr algn="r">
              <a:defRPr sz="900">
                <a:latin typeface="+mj-lt"/>
              </a:defRPr>
            </a:pPr>
            <a:endParaRPr lang="en-US"/>
          </a:p>
        </c:txPr>
        <c:crossAx val="2096369128"/>
        <c:crosses val="autoZero"/>
        <c:auto val="1"/>
        <c:lblAlgn val="ctr"/>
        <c:lblOffset val="100"/>
        <c:noMultiLvlLbl val="0"/>
      </c:catAx>
      <c:valAx>
        <c:axId val="2096369128"/>
        <c:scaling>
          <c:orientation val="minMax"/>
        </c:scaling>
        <c:delete val="0"/>
        <c:axPos val="t"/>
        <c:majorGridlines/>
        <c:numFmt formatCode="0%" sourceLinked="1"/>
        <c:majorTickMark val="out"/>
        <c:minorTickMark val="none"/>
        <c:tickLblPos val="nextTo"/>
        <c:txPr>
          <a:bodyPr/>
          <a:lstStyle/>
          <a:p>
            <a:pPr>
              <a:defRPr sz="700"/>
            </a:pPr>
            <a:endParaRPr lang="en-US"/>
          </a:p>
        </c:txPr>
        <c:crossAx val="2096363720"/>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latin typeface="+mj-lt"/>
              </a:defRPr>
            </a:pPr>
            <a:r>
              <a:rPr lang="en-US" sz="1000">
                <a:latin typeface="+mj-lt"/>
              </a:rPr>
              <a:t>Uses for Filtered Water</a:t>
            </a:r>
          </a:p>
          <a:p>
            <a:pPr algn="l">
              <a:defRPr>
                <a:latin typeface="+mj-lt"/>
              </a:defRPr>
            </a:pPr>
            <a:r>
              <a:rPr lang="en-US" sz="1000">
                <a:latin typeface="+mj-lt"/>
              </a:rPr>
              <a:t>(n = 248)</a:t>
            </a:r>
          </a:p>
        </c:rich>
      </c:tx>
      <c:layout>
        <c:manualLayout>
          <c:xMode val="edge"/>
          <c:yMode val="edge"/>
          <c:x val="0.0375479002624672"/>
          <c:y val="0.0416666666666667"/>
        </c:manualLayout>
      </c:layout>
      <c:overlay val="0"/>
    </c:title>
    <c:autoTitleDeleted val="0"/>
    <c:plotArea>
      <c:layout>
        <c:manualLayout>
          <c:layoutTarget val="inner"/>
          <c:xMode val="edge"/>
          <c:yMode val="edge"/>
          <c:x val="0.274359860551782"/>
          <c:y val="0.234998177311169"/>
          <c:w val="0.613007631323482"/>
          <c:h val="0.704816637503645"/>
        </c:manualLayout>
      </c:layout>
      <c:barChart>
        <c:barDir val="bar"/>
        <c:grouping val="clustered"/>
        <c:varyColors val="0"/>
        <c:ser>
          <c:idx val="0"/>
          <c:order val="0"/>
          <c:tx>
            <c:strRef>
              <c:f>Location!$EM$440</c:f>
              <c:strCache>
                <c:ptCount val="1"/>
                <c:pt idx="0">
                  <c:v>IDP Camp</c:v>
                </c:pt>
              </c:strCache>
            </c:strRef>
          </c:tx>
          <c:spPr>
            <a:solidFill>
              <a:srgbClr val="FFFF00"/>
            </a:solidFill>
            <a:ln>
              <a:solidFill>
                <a:schemeClr val="tx1"/>
              </a:solidFill>
            </a:ln>
          </c:spPr>
          <c:invertIfNegative val="0"/>
          <c:dLbls>
            <c:dLbl>
              <c:idx val="2"/>
              <c:layout>
                <c:manualLayout>
                  <c:x val="0.0"/>
                  <c:y val="-0.0370370370370369"/>
                </c:manualLayout>
              </c:layout>
              <c:showLegendKey val="0"/>
              <c:showVal val="1"/>
              <c:showCatName val="0"/>
              <c:showSerName val="0"/>
              <c:showPercent val="0"/>
              <c:showBubbleSize val="0"/>
            </c:dLbl>
            <c:dLbl>
              <c:idx val="3"/>
              <c:delete val="1"/>
            </c:dLbl>
            <c:txPr>
              <a:bodyPr/>
              <a:lstStyle/>
              <a:p>
                <a:pPr>
                  <a:defRPr sz="800" b="1"/>
                </a:pPr>
                <a:endParaRPr lang="en-US"/>
              </a:p>
            </c:txPr>
            <c:showLegendKey val="0"/>
            <c:showVal val="1"/>
            <c:showCatName val="0"/>
            <c:showSerName val="0"/>
            <c:showPercent val="0"/>
            <c:showBubbleSize val="0"/>
            <c:showLeaderLines val="0"/>
          </c:dLbls>
          <c:cat>
            <c:strRef>
              <c:f>Location!$EN$439:$EQ$439</c:f>
              <c:strCache>
                <c:ptCount val="4"/>
                <c:pt idx="0">
                  <c:v>Drinking</c:v>
                </c:pt>
                <c:pt idx="1">
                  <c:v>Cooking</c:v>
                </c:pt>
                <c:pt idx="2">
                  <c:v>Handwashing</c:v>
                </c:pt>
                <c:pt idx="3">
                  <c:v>Cleaning / _x000d_Washing Up</c:v>
                </c:pt>
              </c:strCache>
            </c:strRef>
          </c:cat>
          <c:val>
            <c:numRef>
              <c:f>Location!$EN$440:$EQ$440</c:f>
              <c:numCache>
                <c:formatCode>0%</c:formatCode>
                <c:ptCount val="4"/>
                <c:pt idx="0">
                  <c:v>0.974193548387097</c:v>
                </c:pt>
                <c:pt idx="1">
                  <c:v>0.309677419354839</c:v>
                </c:pt>
                <c:pt idx="2">
                  <c:v>0.0193548387096774</c:v>
                </c:pt>
                <c:pt idx="3">
                  <c:v>0.0</c:v>
                </c:pt>
              </c:numCache>
            </c:numRef>
          </c:val>
        </c:ser>
        <c:ser>
          <c:idx val="1"/>
          <c:order val="1"/>
          <c:tx>
            <c:strRef>
              <c:f>Location!$EM$441</c:f>
              <c:strCache>
                <c:ptCount val="1"/>
                <c:pt idx="0">
                  <c:v>Village</c:v>
                </c:pt>
              </c:strCache>
            </c:strRef>
          </c:tx>
          <c:spPr>
            <a:solidFill>
              <a:schemeClr val="tx2"/>
            </a:solidFill>
            <a:ln>
              <a:solidFill>
                <a:schemeClr val="tx1"/>
              </a:solidFill>
            </a:ln>
          </c:spPr>
          <c:invertIfNegative val="0"/>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dLbl>
              <c:idx val="4"/>
              <c:showLegendKey val="0"/>
              <c:showVal val="1"/>
              <c:showCatName val="0"/>
              <c:showSerName val="0"/>
              <c:showPercent val="0"/>
              <c:showBubbleSize val="0"/>
            </c:dLbl>
            <c:txPr>
              <a:bodyPr/>
              <a:lstStyle/>
              <a:p>
                <a:pPr>
                  <a:defRPr sz="800"/>
                </a:pPr>
                <a:endParaRPr lang="en-US"/>
              </a:p>
            </c:txPr>
            <c:showLegendKey val="0"/>
            <c:showVal val="0"/>
            <c:showCatName val="0"/>
            <c:showSerName val="0"/>
            <c:showPercent val="0"/>
            <c:showBubbleSize val="0"/>
          </c:dLbls>
          <c:cat>
            <c:strRef>
              <c:f>Location!$EN$439:$EQ$439</c:f>
              <c:strCache>
                <c:ptCount val="4"/>
                <c:pt idx="0">
                  <c:v>Drinking</c:v>
                </c:pt>
                <c:pt idx="1">
                  <c:v>Cooking</c:v>
                </c:pt>
                <c:pt idx="2">
                  <c:v>Handwashing</c:v>
                </c:pt>
                <c:pt idx="3">
                  <c:v>Cleaning / _x000d_Washing Up</c:v>
                </c:pt>
              </c:strCache>
            </c:strRef>
          </c:cat>
          <c:val>
            <c:numRef>
              <c:f>Location!$EN$441:$EQ$441</c:f>
              <c:numCache>
                <c:formatCode>0%</c:formatCode>
                <c:ptCount val="4"/>
                <c:pt idx="0">
                  <c:v>0.956989247311828</c:v>
                </c:pt>
                <c:pt idx="1">
                  <c:v>0.0967741935483871</c:v>
                </c:pt>
                <c:pt idx="2">
                  <c:v>0.021505376344086</c:v>
                </c:pt>
                <c:pt idx="3">
                  <c:v>0.0</c:v>
                </c:pt>
              </c:numCache>
            </c:numRef>
          </c:val>
        </c:ser>
        <c:dLbls>
          <c:showLegendKey val="0"/>
          <c:showVal val="0"/>
          <c:showCatName val="0"/>
          <c:showSerName val="0"/>
          <c:showPercent val="0"/>
          <c:showBubbleSize val="0"/>
        </c:dLbls>
        <c:gapWidth val="50"/>
        <c:axId val="2096419944"/>
        <c:axId val="2096425256"/>
      </c:barChart>
      <c:catAx>
        <c:axId val="2096419944"/>
        <c:scaling>
          <c:orientation val="maxMin"/>
        </c:scaling>
        <c:delete val="0"/>
        <c:axPos val="l"/>
        <c:majorTickMark val="none"/>
        <c:minorTickMark val="none"/>
        <c:tickLblPos val="nextTo"/>
        <c:txPr>
          <a:bodyPr/>
          <a:lstStyle/>
          <a:p>
            <a:pPr>
              <a:defRPr sz="900">
                <a:latin typeface="+mj-lt"/>
              </a:defRPr>
            </a:pPr>
            <a:endParaRPr lang="en-US"/>
          </a:p>
        </c:txPr>
        <c:crossAx val="2096425256"/>
        <c:crosses val="autoZero"/>
        <c:auto val="1"/>
        <c:lblAlgn val="ctr"/>
        <c:lblOffset val="100"/>
        <c:noMultiLvlLbl val="0"/>
      </c:catAx>
      <c:valAx>
        <c:axId val="2096425256"/>
        <c:scaling>
          <c:orientation val="minMax"/>
          <c:max val="1.0"/>
        </c:scaling>
        <c:delete val="0"/>
        <c:axPos val="t"/>
        <c:majorGridlines/>
        <c:numFmt formatCode="0%" sourceLinked="1"/>
        <c:majorTickMark val="none"/>
        <c:minorTickMark val="none"/>
        <c:tickLblPos val="nextTo"/>
        <c:txPr>
          <a:bodyPr/>
          <a:lstStyle/>
          <a:p>
            <a:pPr>
              <a:defRPr sz="800"/>
            </a:pPr>
            <a:endParaRPr lang="en-US"/>
          </a:p>
        </c:txPr>
        <c:crossAx val="2096419944"/>
        <c:crosses val="autoZero"/>
        <c:crossBetween val="between"/>
      </c:valAx>
      <c:spPr>
        <a:ln>
          <a:solidFill>
            <a:schemeClr val="tx1"/>
          </a:solidFill>
        </a:ln>
      </c:spPr>
    </c:plotArea>
    <c:legend>
      <c:legendPos val="t"/>
      <c:layout>
        <c:manualLayout>
          <c:xMode val="edge"/>
          <c:yMode val="edge"/>
          <c:x val="0.552561679790026"/>
          <c:y val="0.0324074074074074"/>
          <c:w val="0.405174009737332"/>
          <c:h val="0.11206982916198"/>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Willingness</a:t>
            </a:r>
            <a:r>
              <a:rPr lang="en-US" sz="1000" baseline="0">
                <a:latin typeface="+mj-lt"/>
              </a:rPr>
              <a:t> to pay to replace filter bowl</a:t>
            </a:r>
            <a:endParaRPr lang="en-US" sz="1000">
              <a:latin typeface="+mj-lt"/>
            </a:endParaRPr>
          </a:p>
        </c:rich>
      </c:tx>
      <c:layout>
        <c:manualLayout>
          <c:xMode val="edge"/>
          <c:yMode val="edge"/>
          <c:x val="0.0931504811898513"/>
          <c:y val="0.0231481481481481"/>
        </c:manualLayout>
      </c:layout>
      <c:overlay val="0"/>
    </c:title>
    <c:autoTitleDeleted val="0"/>
    <c:plotArea>
      <c:layout/>
      <c:barChart>
        <c:barDir val="col"/>
        <c:grouping val="clustered"/>
        <c:varyColors val="0"/>
        <c:ser>
          <c:idx val="1"/>
          <c:order val="0"/>
          <c:tx>
            <c:strRef>
              <c:f>Database!$FP$481</c:f>
              <c:strCache>
                <c:ptCount val="1"/>
                <c:pt idx="0">
                  <c:v>%</c:v>
                </c:pt>
              </c:strCache>
            </c:strRef>
          </c:tx>
          <c:spPr>
            <a:solidFill>
              <a:srgbClr val="008000"/>
            </a:solidFill>
            <a:ln>
              <a:solidFill>
                <a:schemeClr val="tx1"/>
              </a:solidFill>
            </a:ln>
          </c:spPr>
          <c:invertIfNegative val="0"/>
          <c:dPt>
            <c:idx val="0"/>
            <c:invertIfNegative val="0"/>
            <c:bubble3D val="0"/>
            <c:spPr>
              <a:solidFill>
                <a:srgbClr val="FF0000"/>
              </a:solidFill>
              <a:ln>
                <a:solidFill>
                  <a:schemeClr val="tx1"/>
                </a:solidFill>
              </a:ln>
            </c:spPr>
          </c:dPt>
          <c:dLbls>
            <c:txPr>
              <a:bodyPr/>
              <a:lstStyle/>
              <a:p>
                <a:pPr>
                  <a:defRPr sz="800" b="1"/>
                </a:pPr>
                <a:endParaRPr lang="en-US"/>
              </a:p>
            </c:txPr>
            <c:showLegendKey val="0"/>
            <c:showVal val="1"/>
            <c:showCatName val="0"/>
            <c:showSerName val="0"/>
            <c:showPercent val="0"/>
            <c:showBubbleSize val="0"/>
            <c:showLeaderLines val="0"/>
          </c:dLbls>
          <c:cat>
            <c:strRef>
              <c:f>Database!$FN$482:$FN$485</c:f>
              <c:strCache>
                <c:ptCount val="4"/>
                <c:pt idx="0">
                  <c:v>No answer</c:v>
                </c:pt>
                <c:pt idx="1">
                  <c:v>&lt; 3,000 MMK</c:v>
                </c:pt>
                <c:pt idx="2">
                  <c:v>3-5,000 MMK</c:v>
                </c:pt>
                <c:pt idx="3">
                  <c:v>&gt; 5,000 MMK</c:v>
                </c:pt>
              </c:strCache>
            </c:strRef>
          </c:cat>
          <c:val>
            <c:numRef>
              <c:f>Database!$FP$482:$FP$485</c:f>
              <c:numCache>
                <c:formatCode>0%</c:formatCode>
                <c:ptCount val="4"/>
                <c:pt idx="0">
                  <c:v>0.314516129032258</c:v>
                </c:pt>
                <c:pt idx="1">
                  <c:v>0.217741935483871</c:v>
                </c:pt>
                <c:pt idx="2">
                  <c:v>0.350806451612903</c:v>
                </c:pt>
                <c:pt idx="3">
                  <c:v>0.116935483870968</c:v>
                </c:pt>
              </c:numCache>
            </c:numRef>
          </c:val>
        </c:ser>
        <c:dLbls>
          <c:showLegendKey val="0"/>
          <c:showVal val="0"/>
          <c:showCatName val="0"/>
          <c:showSerName val="0"/>
          <c:showPercent val="0"/>
          <c:showBubbleSize val="0"/>
        </c:dLbls>
        <c:gapWidth val="50"/>
        <c:axId val="2091772344"/>
        <c:axId val="2091775352"/>
      </c:barChart>
      <c:catAx>
        <c:axId val="2091772344"/>
        <c:scaling>
          <c:orientation val="minMax"/>
        </c:scaling>
        <c:delete val="0"/>
        <c:axPos val="b"/>
        <c:majorTickMark val="out"/>
        <c:minorTickMark val="none"/>
        <c:tickLblPos val="nextTo"/>
        <c:txPr>
          <a:bodyPr/>
          <a:lstStyle/>
          <a:p>
            <a:pPr>
              <a:defRPr sz="800"/>
            </a:pPr>
            <a:endParaRPr lang="en-US"/>
          </a:p>
        </c:txPr>
        <c:crossAx val="2091775352"/>
        <c:crosses val="autoZero"/>
        <c:auto val="1"/>
        <c:lblAlgn val="ctr"/>
        <c:lblOffset val="100"/>
        <c:noMultiLvlLbl val="0"/>
      </c:catAx>
      <c:valAx>
        <c:axId val="2091775352"/>
        <c:scaling>
          <c:orientation val="minMax"/>
        </c:scaling>
        <c:delete val="0"/>
        <c:axPos val="l"/>
        <c:majorGridlines/>
        <c:numFmt formatCode="0%" sourceLinked="1"/>
        <c:majorTickMark val="out"/>
        <c:minorTickMark val="none"/>
        <c:tickLblPos val="nextTo"/>
        <c:txPr>
          <a:bodyPr/>
          <a:lstStyle/>
          <a:p>
            <a:pPr>
              <a:defRPr sz="800"/>
            </a:pPr>
            <a:endParaRPr lang="en-US"/>
          </a:p>
        </c:txPr>
        <c:crossAx val="2091772344"/>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latin typeface="+mj-lt"/>
              </a:defRPr>
            </a:pPr>
            <a:r>
              <a:rPr lang="en-US" sz="1000">
                <a:latin typeface="+mj-lt"/>
              </a:rPr>
              <a:t>Reason why Soap was Unavailable (n=153)</a:t>
            </a:r>
          </a:p>
        </c:rich>
      </c:tx>
      <c:layout>
        <c:manualLayout>
          <c:xMode val="edge"/>
          <c:yMode val="edge"/>
          <c:x val="0.0320623359580052"/>
          <c:y val="0.0182748538011696"/>
        </c:manualLayout>
      </c:layout>
      <c:overlay val="0"/>
    </c:title>
    <c:autoTitleDeleted val="0"/>
    <c:plotArea>
      <c:layout/>
      <c:barChart>
        <c:barDir val="bar"/>
        <c:grouping val="clustered"/>
        <c:varyColors val="0"/>
        <c:ser>
          <c:idx val="5"/>
          <c:order val="0"/>
          <c:tx>
            <c:strRef>
              <c:f>Database!$GC$489</c:f>
              <c:strCache>
                <c:ptCount val="1"/>
                <c:pt idx="0">
                  <c:v>TOTAL</c:v>
                </c:pt>
              </c:strCache>
            </c:strRef>
          </c:tx>
          <c:spPr>
            <a:solidFill>
              <a:srgbClr val="008000"/>
            </a:solidFill>
            <a:ln>
              <a:solidFill>
                <a:schemeClr val="tx1"/>
              </a:solidFill>
            </a:ln>
          </c:spPr>
          <c:invertIfNegative val="0"/>
          <c:dPt>
            <c:idx val="0"/>
            <c:invertIfNegative val="0"/>
            <c:bubble3D val="0"/>
            <c:spPr>
              <a:solidFill>
                <a:srgbClr val="FF0000"/>
              </a:solidFill>
              <a:ln>
                <a:solidFill>
                  <a:schemeClr val="tx1"/>
                </a:solidFill>
              </a:ln>
            </c:spPr>
          </c:dPt>
          <c:dLbls>
            <c:txPr>
              <a:bodyPr/>
              <a:lstStyle/>
              <a:p>
                <a:pPr>
                  <a:defRPr sz="800" b="1">
                    <a:latin typeface="+mj-lt"/>
                  </a:defRPr>
                </a:pPr>
                <a:endParaRPr lang="en-US"/>
              </a:p>
            </c:txPr>
            <c:showLegendKey val="0"/>
            <c:showVal val="1"/>
            <c:showCatName val="0"/>
            <c:showSerName val="0"/>
            <c:showPercent val="0"/>
            <c:showBubbleSize val="0"/>
            <c:showLeaderLines val="0"/>
          </c:dLbls>
          <c:cat>
            <c:strRef>
              <c:f>Database!$GD$483:$GK$483</c:f>
              <c:strCache>
                <c:ptCount val="8"/>
                <c:pt idx="0">
                  <c:v>Don’t want to answer</c:v>
                </c:pt>
                <c:pt idx="1">
                  <c:v>Can't Afford</c:v>
                </c:pt>
                <c:pt idx="2">
                  <c:v>Recently finished soap from NGO</c:v>
                </c:pt>
                <c:pt idx="3">
                  <c:v>Waiting for NGO to distribute more</c:v>
                </c:pt>
                <c:pt idx="4">
                  <c:v>More important things to spend money on</c:v>
                </c:pt>
                <c:pt idx="5">
                  <c:v>Soap is unavailable</c:v>
                </c:pt>
                <c:pt idx="6">
                  <c:v>Can't access market</c:v>
                </c:pt>
                <c:pt idx="7">
                  <c:v>Other</c:v>
                </c:pt>
              </c:strCache>
            </c:strRef>
          </c:cat>
          <c:val>
            <c:numRef>
              <c:f>Database!$GD$489:$GK$489</c:f>
              <c:numCache>
                <c:formatCode>0%</c:formatCode>
                <c:ptCount val="8"/>
                <c:pt idx="0">
                  <c:v>0.0065359477124183</c:v>
                </c:pt>
                <c:pt idx="1">
                  <c:v>0.464052287581699</c:v>
                </c:pt>
                <c:pt idx="2">
                  <c:v>0.169934640522876</c:v>
                </c:pt>
                <c:pt idx="3">
                  <c:v>0.156862745098039</c:v>
                </c:pt>
                <c:pt idx="4">
                  <c:v>0.137254901960784</c:v>
                </c:pt>
                <c:pt idx="5">
                  <c:v>0.0718954248366013</c:v>
                </c:pt>
                <c:pt idx="6">
                  <c:v>0.0196078431372549</c:v>
                </c:pt>
                <c:pt idx="7">
                  <c:v>0.0326797385620915</c:v>
                </c:pt>
              </c:numCache>
            </c:numRef>
          </c:val>
        </c:ser>
        <c:dLbls>
          <c:showLegendKey val="0"/>
          <c:showVal val="0"/>
          <c:showCatName val="0"/>
          <c:showSerName val="0"/>
          <c:showPercent val="0"/>
          <c:showBubbleSize val="0"/>
        </c:dLbls>
        <c:gapWidth val="50"/>
        <c:axId val="2091751944"/>
        <c:axId val="2091755000"/>
      </c:barChart>
      <c:catAx>
        <c:axId val="2091751944"/>
        <c:scaling>
          <c:orientation val="maxMin"/>
        </c:scaling>
        <c:delete val="0"/>
        <c:axPos val="l"/>
        <c:majorTickMark val="none"/>
        <c:minorTickMark val="none"/>
        <c:tickLblPos val="nextTo"/>
        <c:txPr>
          <a:bodyPr/>
          <a:lstStyle/>
          <a:p>
            <a:pPr algn="r">
              <a:defRPr sz="900">
                <a:latin typeface="+mj-lt"/>
              </a:defRPr>
            </a:pPr>
            <a:endParaRPr lang="en-US"/>
          </a:p>
        </c:txPr>
        <c:crossAx val="2091755000"/>
        <c:crosses val="autoZero"/>
        <c:auto val="1"/>
        <c:lblAlgn val="ctr"/>
        <c:lblOffset val="100"/>
        <c:noMultiLvlLbl val="0"/>
      </c:catAx>
      <c:valAx>
        <c:axId val="2091755000"/>
        <c:scaling>
          <c:orientation val="minMax"/>
        </c:scaling>
        <c:delete val="0"/>
        <c:axPos val="t"/>
        <c:majorGridlines/>
        <c:numFmt formatCode="0%" sourceLinked="1"/>
        <c:majorTickMark val="none"/>
        <c:minorTickMark val="none"/>
        <c:tickLblPos val="nextTo"/>
        <c:txPr>
          <a:bodyPr/>
          <a:lstStyle/>
          <a:p>
            <a:pPr>
              <a:defRPr sz="800"/>
            </a:pPr>
            <a:endParaRPr lang="en-US"/>
          </a:p>
        </c:txPr>
        <c:crossAx val="2091751944"/>
        <c:crosses val="autoZero"/>
        <c:crossBetween val="between"/>
        <c:majorUnit val="0.1"/>
      </c:valAx>
      <c:spPr>
        <a:ln>
          <a:solidFill>
            <a:schemeClr val="tx1"/>
          </a:solidFill>
        </a:ln>
      </c:spPr>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latin typeface="+mj-lt"/>
              </a:defRPr>
            </a:pPr>
            <a:r>
              <a:rPr lang="en-US" sz="1000">
                <a:latin typeface="+mj-lt"/>
              </a:rPr>
              <a:t>Availability of Soap </a:t>
            </a:r>
          </a:p>
          <a:p>
            <a:pPr algn="l">
              <a:defRPr>
                <a:latin typeface="+mj-lt"/>
              </a:defRPr>
            </a:pPr>
            <a:r>
              <a:rPr lang="en-US" sz="1000">
                <a:latin typeface="+mj-lt"/>
              </a:rPr>
              <a:t>for Handwashing</a:t>
            </a:r>
          </a:p>
        </c:rich>
      </c:tx>
      <c:layout>
        <c:manualLayout>
          <c:xMode val="edge"/>
          <c:yMode val="edge"/>
          <c:x val="0.0458750981393541"/>
          <c:y val="0.00471932005729201"/>
        </c:manualLayout>
      </c:layout>
      <c:overlay val="0"/>
    </c:title>
    <c:autoTitleDeleted val="0"/>
    <c:plotArea>
      <c:layout>
        <c:manualLayout>
          <c:layoutTarget val="inner"/>
          <c:xMode val="edge"/>
          <c:yMode val="edge"/>
          <c:x val="0.154829615048119"/>
          <c:y val="0.222606080489939"/>
          <c:w val="0.77967738407699"/>
          <c:h val="0.660048483522893"/>
        </c:manualLayout>
      </c:layout>
      <c:barChart>
        <c:barDir val="bar"/>
        <c:grouping val="stacked"/>
        <c:varyColors val="0"/>
        <c:ser>
          <c:idx val="0"/>
          <c:order val="0"/>
          <c:tx>
            <c:strRef>
              <c:f>Database!$GA$471</c:f>
              <c:strCache>
                <c:ptCount val="1"/>
                <c:pt idx="0">
                  <c:v>Available</c:v>
                </c:pt>
              </c:strCache>
            </c:strRef>
          </c:tx>
          <c:spPr>
            <a:solidFill>
              <a:schemeClr val="accent6">
                <a:lumMod val="60000"/>
                <a:lumOff val="40000"/>
              </a:schemeClr>
            </a:solidFill>
            <a:ln>
              <a:solidFill>
                <a:schemeClr val="tx1"/>
              </a:solidFill>
            </a:ln>
          </c:spPr>
          <c:invertIfNegative val="0"/>
          <c:dLbls>
            <c:dLbl>
              <c:idx val="0"/>
              <c:layout>
                <c:manualLayout>
                  <c:x val="-0.0402298775153106"/>
                  <c:y val="8.48755627201354E-17"/>
                </c:manualLayout>
              </c:layout>
              <c:dLblPos val="ctr"/>
              <c:showLegendKey val="0"/>
              <c:showVal val="1"/>
              <c:showCatName val="0"/>
              <c:showSerName val="0"/>
              <c:showPercent val="0"/>
              <c:showBubbleSize val="0"/>
            </c:dLbl>
            <c:dLbl>
              <c:idx val="1"/>
              <c:layout>
                <c:manualLayout>
                  <c:x val="-0.0813757655293088"/>
                  <c:y val="-0.00462962962962963"/>
                </c:manualLayout>
              </c:layout>
              <c:dLblPos val="ctr"/>
              <c:showLegendKey val="0"/>
              <c:showVal val="1"/>
              <c:showCatName val="0"/>
              <c:showSerName val="0"/>
              <c:showPercent val="0"/>
              <c:showBubbleSize val="0"/>
            </c:dLbl>
            <c:dLbl>
              <c:idx val="2"/>
              <c:layout>
                <c:manualLayout>
                  <c:x val="-0.00119794400699912"/>
                  <c:y val="-0.00462962962962963"/>
                </c:manualLayout>
              </c:layout>
              <c:dLblPos val="ctr"/>
              <c:showLegendKey val="0"/>
              <c:showVal val="1"/>
              <c:showCatName val="0"/>
              <c:showSerName val="0"/>
              <c:showPercent val="0"/>
              <c:showBubbleSize val="0"/>
            </c:dLbl>
            <c:txPr>
              <a:bodyPr/>
              <a:lstStyle/>
              <a:p>
                <a:pPr>
                  <a:defRPr sz="900" b="1"/>
                </a:pPr>
                <a:endParaRPr lang="en-US"/>
              </a:p>
            </c:txPr>
            <c:dLblPos val="inEnd"/>
            <c:showLegendKey val="0"/>
            <c:showVal val="1"/>
            <c:showCatName val="0"/>
            <c:showSerName val="0"/>
            <c:showPercent val="0"/>
            <c:showBubbleSize val="0"/>
            <c:showLeaderLines val="0"/>
          </c:dLbls>
          <c:cat>
            <c:strRef>
              <c:f>Database!$GB$470:$GD$470</c:f>
              <c:strCache>
                <c:ptCount val="3"/>
                <c:pt idx="0">
                  <c:v>Total</c:v>
                </c:pt>
                <c:pt idx="1">
                  <c:v>IDP Camp</c:v>
                </c:pt>
                <c:pt idx="2">
                  <c:v>Village</c:v>
                </c:pt>
              </c:strCache>
            </c:strRef>
          </c:cat>
          <c:val>
            <c:numRef>
              <c:f>Database!$GB$471:$GD$471</c:f>
              <c:numCache>
                <c:formatCode>0%</c:formatCode>
                <c:ptCount val="3"/>
                <c:pt idx="0">
                  <c:v>0.63785046728972</c:v>
                </c:pt>
                <c:pt idx="1">
                  <c:v>0.731818181818182</c:v>
                </c:pt>
                <c:pt idx="2">
                  <c:v>0.538461538461539</c:v>
                </c:pt>
              </c:numCache>
            </c:numRef>
          </c:val>
        </c:ser>
        <c:ser>
          <c:idx val="1"/>
          <c:order val="1"/>
          <c:tx>
            <c:strRef>
              <c:f>Database!$GA$472</c:f>
              <c:strCache>
                <c:ptCount val="1"/>
                <c:pt idx="0">
                  <c:v>Unavailable</c:v>
                </c:pt>
              </c:strCache>
            </c:strRef>
          </c:tx>
          <c:spPr>
            <a:solidFill>
              <a:schemeClr val="accent4">
                <a:lumMod val="75000"/>
              </a:schemeClr>
            </a:solidFill>
            <a:ln>
              <a:solidFill>
                <a:schemeClr val="tx1"/>
              </a:solidFill>
            </a:ln>
          </c:spPr>
          <c:invertIfNegative val="0"/>
          <c:dLbls>
            <c:txPr>
              <a:bodyPr/>
              <a:lstStyle/>
              <a:p>
                <a:pPr>
                  <a:defRPr sz="800">
                    <a:solidFill>
                      <a:schemeClr val="bg1"/>
                    </a:solidFill>
                  </a:defRPr>
                </a:pPr>
                <a:endParaRPr lang="en-US"/>
              </a:p>
            </c:txPr>
            <c:showLegendKey val="0"/>
            <c:showVal val="1"/>
            <c:showCatName val="0"/>
            <c:showSerName val="0"/>
            <c:showPercent val="0"/>
            <c:showBubbleSize val="0"/>
            <c:showLeaderLines val="0"/>
          </c:dLbls>
          <c:cat>
            <c:strRef>
              <c:f>Database!$GB$470:$GD$470</c:f>
              <c:strCache>
                <c:ptCount val="3"/>
                <c:pt idx="0">
                  <c:v>Total</c:v>
                </c:pt>
                <c:pt idx="1">
                  <c:v>IDP Camp</c:v>
                </c:pt>
                <c:pt idx="2">
                  <c:v>Village</c:v>
                </c:pt>
              </c:strCache>
            </c:strRef>
          </c:cat>
          <c:val>
            <c:numRef>
              <c:f>Database!$GB$472:$GD$472</c:f>
              <c:numCache>
                <c:formatCode>0%</c:formatCode>
                <c:ptCount val="3"/>
                <c:pt idx="0">
                  <c:v>0.357476635514019</c:v>
                </c:pt>
                <c:pt idx="1">
                  <c:v>0.268181818181818</c:v>
                </c:pt>
                <c:pt idx="2">
                  <c:v>0.451923076923077</c:v>
                </c:pt>
              </c:numCache>
            </c:numRef>
          </c:val>
        </c:ser>
        <c:dLbls>
          <c:showLegendKey val="0"/>
          <c:showVal val="0"/>
          <c:showCatName val="0"/>
          <c:showSerName val="0"/>
          <c:showPercent val="0"/>
          <c:showBubbleSize val="0"/>
        </c:dLbls>
        <c:gapWidth val="55"/>
        <c:overlap val="100"/>
        <c:axId val="2096463016"/>
        <c:axId val="2096466024"/>
      </c:barChart>
      <c:catAx>
        <c:axId val="2096463016"/>
        <c:scaling>
          <c:orientation val="minMax"/>
        </c:scaling>
        <c:delete val="0"/>
        <c:axPos val="l"/>
        <c:majorTickMark val="none"/>
        <c:minorTickMark val="none"/>
        <c:tickLblPos val="nextTo"/>
        <c:txPr>
          <a:bodyPr/>
          <a:lstStyle/>
          <a:p>
            <a:pPr>
              <a:defRPr>
                <a:latin typeface="+mj-lt"/>
              </a:defRPr>
            </a:pPr>
            <a:endParaRPr lang="en-US"/>
          </a:p>
        </c:txPr>
        <c:crossAx val="2096466024"/>
        <c:crosses val="autoZero"/>
        <c:auto val="1"/>
        <c:lblAlgn val="ctr"/>
        <c:lblOffset val="100"/>
        <c:noMultiLvlLbl val="0"/>
      </c:catAx>
      <c:valAx>
        <c:axId val="2096466024"/>
        <c:scaling>
          <c:orientation val="minMax"/>
          <c:max val="1.0"/>
        </c:scaling>
        <c:delete val="0"/>
        <c:axPos val="b"/>
        <c:majorGridlines/>
        <c:numFmt formatCode="0%" sourceLinked="1"/>
        <c:majorTickMark val="none"/>
        <c:minorTickMark val="none"/>
        <c:tickLblPos val="nextTo"/>
        <c:txPr>
          <a:bodyPr/>
          <a:lstStyle/>
          <a:p>
            <a:pPr>
              <a:defRPr sz="800"/>
            </a:pPr>
            <a:endParaRPr lang="en-US"/>
          </a:p>
        </c:txPr>
        <c:crossAx val="2096463016"/>
        <c:crosses val="autoZero"/>
        <c:crossBetween val="between"/>
      </c:valAx>
      <c:spPr>
        <a:ln>
          <a:solidFill>
            <a:schemeClr val="tx1"/>
          </a:solidFill>
        </a:ln>
      </c:spPr>
    </c:plotArea>
    <c:legend>
      <c:legendPos val="t"/>
      <c:layout>
        <c:manualLayout>
          <c:xMode val="edge"/>
          <c:yMode val="edge"/>
          <c:x val="0.618769574093093"/>
          <c:y val="0.00925925925925926"/>
          <c:w val="0.312792422686295"/>
          <c:h val="0.157791265675124"/>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mj-lt"/>
              </a:defRPr>
            </a:pPr>
            <a:r>
              <a:rPr lang="en-US" sz="1000">
                <a:latin typeface="+mj-lt"/>
              </a:rPr>
              <a:t>Knowledge</a:t>
            </a:r>
            <a:r>
              <a:rPr lang="en-US" sz="1000" baseline="0">
                <a:latin typeface="+mj-lt"/>
              </a:rPr>
              <a:t> of critical times for Handwashing</a:t>
            </a:r>
            <a:endParaRPr lang="en-US" sz="1000">
              <a:latin typeface="+mj-lt"/>
            </a:endParaRPr>
          </a:p>
        </c:rich>
      </c:tx>
      <c:layout/>
      <c:overlay val="0"/>
    </c:title>
    <c:autoTitleDeleted val="0"/>
    <c:plotArea>
      <c:layout/>
      <c:barChart>
        <c:barDir val="col"/>
        <c:grouping val="clustered"/>
        <c:varyColors val="0"/>
        <c:ser>
          <c:idx val="0"/>
          <c:order val="0"/>
          <c:tx>
            <c:strRef>
              <c:f>Database!$GP$466</c:f>
              <c:strCache>
                <c:ptCount val="1"/>
                <c:pt idx="0">
                  <c:v>Total</c:v>
                </c:pt>
              </c:strCache>
            </c:strRef>
          </c:tx>
          <c:spPr>
            <a:solidFill>
              <a:srgbClr val="008000"/>
            </a:solidFill>
          </c:spPr>
          <c:invertIfNegative val="0"/>
          <c:dPt>
            <c:idx val="0"/>
            <c:invertIfNegative val="0"/>
            <c:bubble3D val="0"/>
            <c:spPr>
              <a:solidFill>
                <a:srgbClr val="FF0000"/>
              </a:solidFill>
            </c:spPr>
          </c:dPt>
          <c:dLbls>
            <c:txPr>
              <a:bodyPr/>
              <a:lstStyle/>
              <a:p>
                <a:pPr>
                  <a:defRPr sz="800" b="1"/>
                </a:pPr>
                <a:endParaRPr lang="en-US"/>
              </a:p>
            </c:txPr>
            <c:showLegendKey val="0"/>
            <c:showVal val="1"/>
            <c:showCatName val="0"/>
            <c:showSerName val="0"/>
            <c:showPercent val="0"/>
            <c:showBubbleSize val="0"/>
            <c:showLeaderLines val="0"/>
          </c:dLbls>
          <c:cat>
            <c:strRef>
              <c:f>Database!$GO$467:$GO$472</c:f>
              <c:strCache>
                <c:ptCount val="6"/>
                <c:pt idx="0">
                  <c:v>No critical times</c:v>
                </c:pt>
                <c:pt idx="1">
                  <c:v>At least _x000d_1 critical time</c:v>
                </c:pt>
                <c:pt idx="2">
                  <c:v>At least _x000d_2 critical times</c:v>
                </c:pt>
                <c:pt idx="3">
                  <c:v>At least _x000d_3 critical times</c:v>
                </c:pt>
                <c:pt idx="4">
                  <c:v>At least _x000d_4 critical times</c:v>
                </c:pt>
                <c:pt idx="5">
                  <c:v>5 critical times</c:v>
                </c:pt>
              </c:strCache>
            </c:strRef>
          </c:cat>
          <c:val>
            <c:numRef>
              <c:f>Database!$GP$467:$GP$472</c:f>
              <c:numCache>
                <c:formatCode>0%</c:formatCode>
                <c:ptCount val="6"/>
                <c:pt idx="0">
                  <c:v>0.102803738317757</c:v>
                </c:pt>
                <c:pt idx="1">
                  <c:v>0.897196261682243</c:v>
                </c:pt>
                <c:pt idx="2">
                  <c:v>0.525700934579439</c:v>
                </c:pt>
                <c:pt idx="3">
                  <c:v>0.205607476635514</c:v>
                </c:pt>
                <c:pt idx="4">
                  <c:v>0.0607476635514019</c:v>
                </c:pt>
                <c:pt idx="5">
                  <c:v>0.00700934579439252</c:v>
                </c:pt>
              </c:numCache>
            </c:numRef>
          </c:val>
        </c:ser>
        <c:dLbls>
          <c:showLegendKey val="0"/>
          <c:showVal val="0"/>
          <c:showCatName val="0"/>
          <c:showSerName val="0"/>
          <c:showPercent val="0"/>
          <c:showBubbleSize val="0"/>
        </c:dLbls>
        <c:gapWidth val="50"/>
        <c:axId val="-2141951176"/>
        <c:axId val="-2144187272"/>
      </c:barChart>
      <c:catAx>
        <c:axId val="-2141951176"/>
        <c:scaling>
          <c:orientation val="minMax"/>
        </c:scaling>
        <c:delete val="0"/>
        <c:axPos val="b"/>
        <c:majorTickMark val="out"/>
        <c:minorTickMark val="none"/>
        <c:tickLblPos val="nextTo"/>
        <c:txPr>
          <a:bodyPr/>
          <a:lstStyle/>
          <a:p>
            <a:pPr>
              <a:defRPr sz="700"/>
            </a:pPr>
            <a:endParaRPr lang="en-US"/>
          </a:p>
        </c:txPr>
        <c:crossAx val="-2144187272"/>
        <c:crosses val="autoZero"/>
        <c:auto val="1"/>
        <c:lblAlgn val="ctr"/>
        <c:lblOffset val="100"/>
        <c:noMultiLvlLbl val="0"/>
      </c:catAx>
      <c:valAx>
        <c:axId val="-2144187272"/>
        <c:scaling>
          <c:orientation val="minMax"/>
        </c:scaling>
        <c:delete val="0"/>
        <c:axPos val="l"/>
        <c:majorGridlines/>
        <c:numFmt formatCode="0%" sourceLinked="1"/>
        <c:majorTickMark val="out"/>
        <c:minorTickMark val="none"/>
        <c:tickLblPos val="nextTo"/>
        <c:txPr>
          <a:bodyPr/>
          <a:lstStyle/>
          <a:p>
            <a:pPr>
              <a:defRPr sz="800"/>
            </a:pPr>
            <a:endParaRPr lang="en-US"/>
          </a:p>
        </c:txPr>
        <c:crossAx val="-2141951176"/>
        <c:crosses val="autoZero"/>
        <c:crossBetween val="between"/>
        <c:majorUnit val="0.2"/>
      </c:valAx>
      <c:spPr>
        <a:ln>
          <a:solidFill>
            <a:schemeClr val="tx1"/>
          </a:solidFill>
        </a:ln>
      </c:spPr>
    </c:plotArea>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000"/>
              <a:t>Most important times for handwashing</a:t>
            </a:r>
          </a:p>
        </c:rich>
      </c:tx>
      <c:layout>
        <c:manualLayout>
          <c:xMode val="edge"/>
          <c:yMode val="edge"/>
          <c:x val="0.0425772090988626"/>
          <c:y val="0.0390625"/>
        </c:manualLayout>
      </c:layout>
      <c:overlay val="0"/>
    </c:title>
    <c:autoTitleDeleted val="0"/>
    <c:plotArea>
      <c:layout/>
      <c:barChart>
        <c:barDir val="bar"/>
        <c:grouping val="clustered"/>
        <c:varyColors val="0"/>
        <c:ser>
          <c:idx val="2"/>
          <c:order val="0"/>
          <c:tx>
            <c:strRef>
              <c:f>Database!$GK$480</c:f>
              <c:strCache>
                <c:ptCount val="1"/>
                <c:pt idx="0">
                  <c:v>TOTAL</c:v>
                </c:pt>
              </c:strCache>
            </c:strRef>
          </c:tx>
          <c:spPr>
            <a:solidFill>
              <a:srgbClr val="008000"/>
            </a:solidFill>
            <a:ln>
              <a:solidFill>
                <a:schemeClr val="tx1"/>
              </a:solidFill>
            </a:ln>
          </c:spPr>
          <c:invertIfNegative val="0"/>
          <c:dPt>
            <c:idx val="1"/>
            <c:invertIfNegative val="0"/>
            <c:bubble3D val="0"/>
            <c:spPr>
              <a:solidFill>
                <a:schemeClr val="accent6">
                  <a:lumMod val="60000"/>
                  <a:lumOff val="40000"/>
                </a:schemeClr>
              </a:solidFill>
              <a:ln>
                <a:solidFill>
                  <a:schemeClr val="tx1"/>
                </a:solidFill>
              </a:ln>
            </c:spPr>
          </c:dPt>
          <c:dPt>
            <c:idx val="5"/>
            <c:invertIfNegative val="0"/>
            <c:bubble3D val="0"/>
            <c:spPr>
              <a:solidFill>
                <a:schemeClr val="accent6">
                  <a:lumMod val="60000"/>
                  <a:lumOff val="40000"/>
                </a:schemeClr>
              </a:solidFill>
              <a:ln>
                <a:solidFill>
                  <a:schemeClr val="tx1"/>
                </a:solidFill>
              </a:ln>
            </c:spPr>
          </c:dPt>
          <c:dPt>
            <c:idx val="9"/>
            <c:invertIfNegative val="0"/>
            <c:bubble3D val="0"/>
            <c:spPr>
              <a:solidFill>
                <a:schemeClr val="accent6">
                  <a:lumMod val="60000"/>
                  <a:lumOff val="40000"/>
                </a:schemeClr>
              </a:solidFill>
              <a:ln>
                <a:solidFill>
                  <a:schemeClr val="tx1"/>
                </a:solidFill>
              </a:ln>
            </c:spPr>
          </c:dPt>
          <c:dPt>
            <c:idx val="10"/>
            <c:invertIfNegative val="0"/>
            <c:bubble3D val="0"/>
            <c:spPr>
              <a:solidFill>
                <a:srgbClr val="FF0000"/>
              </a:solidFill>
              <a:ln>
                <a:solidFill>
                  <a:schemeClr val="tx1"/>
                </a:solidFill>
              </a:ln>
            </c:spPr>
          </c:dPt>
          <c:dLbls>
            <c:txPr>
              <a:bodyPr/>
              <a:lstStyle/>
              <a:p>
                <a:pPr>
                  <a:defRPr sz="800" b="1"/>
                </a:pPr>
                <a:endParaRPr lang="en-US"/>
              </a:p>
            </c:txPr>
            <c:showLegendKey val="0"/>
            <c:showVal val="1"/>
            <c:showCatName val="0"/>
            <c:showSerName val="0"/>
            <c:showPercent val="0"/>
            <c:showBubbleSize val="0"/>
            <c:showLeaderLines val="0"/>
          </c:dLbls>
          <c:cat>
            <c:strRef>
              <c:f>Database!$GL$477:$GV$477</c:f>
              <c:strCache>
                <c:ptCount val="11"/>
                <c:pt idx="0">
                  <c:v>After defecation</c:v>
                </c:pt>
                <c:pt idx="1">
                  <c:v>When dirty</c:v>
                </c:pt>
                <c:pt idx="2">
                  <c:v>Before eating food</c:v>
                </c:pt>
                <c:pt idx="3">
                  <c:v>Before preparing food</c:v>
                </c:pt>
                <c:pt idx="4">
                  <c:v>Before feeding a child</c:v>
                </c:pt>
                <c:pt idx="5">
                  <c:v>After eating food</c:v>
                </c:pt>
                <c:pt idx="6">
                  <c:v>After disposing of children faeces</c:v>
                </c:pt>
                <c:pt idx="7">
                  <c:v> Before breastfeeding</c:v>
                </c:pt>
                <c:pt idx="8">
                  <c:v>After working with animals, crops etc</c:v>
                </c:pt>
                <c:pt idx="9">
                  <c:v>Other</c:v>
                </c:pt>
                <c:pt idx="10">
                  <c:v>Don't know</c:v>
                </c:pt>
              </c:strCache>
            </c:strRef>
          </c:cat>
          <c:val>
            <c:numRef>
              <c:f>Database!$GL$480:$GV$480</c:f>
              <c:numCache>
                <c:formatCode>0%</c:formatCode>
                <c:ptCount val="11"/>
                <c:pt idx="0">
                  <c:v>0.598130841121495</c:v>
                </c:pt>
                <c:pt idx="1">
                  <c:v>0.434579439252336</c:v>
                </c:pt>
                <c:pt idx="2">
                  <c:v>0.420560747663551</c:v>
                </c:pt>
                <c:pt idx="3">
                  <c:v>0.329439252336449</c:v>
                </c:pt>
                <c:pt idx="4">
                  <c:v>0.154205607476635</c:v>
                </c:pt>
                <c:pt idx="5">
                  <c:v>0.14018691588785</c:v>
                </c:pt>
                <c:pt idx="6">
                  <c:v>0.0887850467289719</c:v>
                </c:pt>
                <c:pt idx="7">
                  <c:v>0.0654205607476635</c:v>
                </c:pt>
                <c:pt idx="8">
                  <c:v>0.0397196261682243</c:v>
                </c:pt>
                <c:pt idx="9">
                  <c:v>0.0280373831775701</c:v>
                </c:pt>
                <c:pt idx="10">
                  <c:v>0.0210280373831776</c:v>
                </c:pt>
              </c:numCache>
            </c:numRef>
          </c:val>
        </c:ser>
        <c:dLbls>
          <c:showLegendKey val="0"/>
          <c:showVal val="0"/>
          <c:showCatName val="0"/>
          <c:showSerName val="0"/>
          <c:showPercent val="0"/>
          <c:showBubbleSize val="0"/>
        </c:dLbls>
        <c:gapWidth val="50"/>
        <c:axId val="2096553080"/>
        <c:axId val="2096556136"/>
      </c:barChart>
      <c:catAx>
        <c:axId val="2096553080"/>
        <c:scaling>
          <c:orientation val="maxMin"/>
        </c:scaling>
        <c:delete val="0"/>
        <c:axPos val="l"/>
        <c:majorTickMark val="out"/>
        <c:minorTickMark val="none"/>
        <c:tickLblPos val="nextTo"/>
        <c:txPr>
          <a:bodyPr/>
          <a:lstStyle/>
          <a:p>
            <a:pPr>
              <a:defRPr sz="900">
                <a:latin typeface="+mj-lt"/>
              </a:defRPr>
            </a:pPr>
            <a:endParaRPr lang="en-US"/>
          </a:p>
        </c:txPr>
        <c:crossAx val="2096556136"/>
        <c:crosses val="autoZero"/>
        <c:auto val="1"/>
        <c:lblAlgn val="ctr"/>
        <c:lblOffset val="100"/>
        <c:noMultiLvlLbl val="0"/>
      </c:catAx>
      <c:valAx>
        <c:axId val="2096556136"/>
        <c:scaling>
          <c:orientation val="minMax"/>
        </c:scaling>
        <c:delete val="0"/>
        <c:axPos val="t"/>
        <c:majorGridlines/>
        <c:numFmt formatCode="0%" sourceLinked="1"/>
        <c:majorTickMark val="out"/>
        <c:minorTickMark val="none"/>
        <c:tickLblPos val="nextTo"/>
        <c:txPr>
          <a:bodyPr/>
          <a:lstStyle/>
          <a:p>
            <a:pPr>
              <a:defRPr sz="800"/>
            </a:pPr>
            <a:endParaRPr lang="en-US"/>
          </a:p>
        </c:txPr>
        <c:crossAx val="2096553080"/>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Reasons for Handwashing</a:t>
            </a:r>
          </a:p>
        </c:rich>
      </c:tx>
      <c:layout>
        <c:manualLayout>
          <c:xMode val="edge"/>
          <c:yMode val="edge"/>
          <c:x val="0.0397764654418198"/>
          <c:y val="0.037037037037037"/>
        </c:manualLayout>
      </c:layout>
      <c:overlay val="0"/>
    </c:title>
    <c:autoTitleDeleted val="0"/>
    <c:plotArea>
      <c:layout/>
      <c:barChart>
        <c:barDir val="bar"/>
        <c:grouping val="clustered"/>
        <c:varyColors val="0"/>
        <c:ser>
          <c:idx val="2"/>
          <c:order val="0"/>
          <c:tx>
            <c:strRef>
              <c:f>Database!$GX$449</c:f>
              <c:strCache>
                <c:ptCount val="1"/>
                <c:pt idx="0">
                  <c:v>TOTAL</c:v>
                </c:pt>
              </c:strCache>
            </c:strRef>
          </c:tx>
          <c:spPr>
            <a:solidFill>
              <a:srgbClr val="008000"/>
            </a:solidFill>
            <a:ln>
              <a:solidFill>
                <a:schemeClr val="tx1"/>
              </a:solidFill>
            </a:ln>
          </c:spPr>
          <c:invertIfNegative val="0"/>
          <c:dPt>
            <c:idx val="0"/>
            <c:invertIfNegative val="0"/>
            <c:bubble3D val="0"/>
            <c:spPr>
              <a:solidFill>
                <a:srgbClr val="FF0000"/>
              </a:solidFill>
              <a:ln>
                <a:solidFill>
                  <a:schemeClr val="tx1"/>
                </a:solidFill>
              </a:ln>
            </c:spPr>
          </c:dPt>
          <c:dLbls>
            <c:dLbl>
              <c:idx val="1"/>
              <c:layout>
                <c:manualLayout>
                  <c:x val="-0.00555555555555566"/>
                  <c:y val="-0.00462962962962963"/>
                </c:manualLayout>
              </c:layout>
              <c:showLegendKey val="0"/>
              <c:showVal val="1"/>
              <c:showCatName val="0"/>
              <c:showSerName val="0"/>
              <c:showPercent val="0"/>
              <c:showBubbleSize val="0"/>
            </c:dLbl>
            <c:txPr>
              <a:bodyPr/>
              <a:lstStyle/>
              <a:p>
                <a:pPr>
                  <a:defRPr sz="800" b="1">
                    <a:latin typeface="+mj-lt"/>
                  </a:defRPr>
                </a:pPr>
                <a:endParaRPr lang="en-US"/>
              </a:p>
            </c:txPr>
            <c:showLegendKey val="0"/>
            <c:showVal val="1"/>
            <c:showCatName val="0"/>
            <c:showSerName val="0"/>
            <c:showPercent val="0"/>
            <c:showBubbleSize val="0"/>
            <c:showLeaderLines val="0"/>
          </c:dLbls>
          <c:cat>
            <c:strRef>
              <c:f>Database!$GY$446:$HF$446</c:f>
              <c:strCache>
                <c:ptCount val="8"/>
                <c:pt idx="0">
                  <c:v>Don't Know</c:v>
                </c:pt>
                <c:pt idx="1">
                  <c:v>To remove dirt</c:v>
                </c:pt>
                <c:pt idx="2">
                  <c:v>To prevent disease</c:v>
                </c:pt>
                <c:pt idx="3">
                  <c:v>To feel CLEAN / COMFORATBLE</c:v>
                </c:pt>
                <c:pt idx="4">
                  <c:v>To enjoy eating</c:v>
                </c:pt>
                <c:pt idx="5">
                  <c:v>To Look Good</c:v>
                </c:pt>
                <c:pt idx="6">
                  <c:v>Part of my habitual routine</c:v>
                </c:pt>
                <c:pt idx="7">
                  <c:v>Other</c:v>
                </c:pt>
              </c:strCache>
            </c:strRef>
          </c:cat>
          <c:val>
            <c:numRef>
              <c:f>Database!$GY$449:$HF$449</c:f>
              <c:numCache>
                <c:formatCode>0%</c:formatCode>
                <c:ptCount val="8"/>
                <c:pt idx="0">
                  <c:v>0.0186915887850467</c:v>
                </c:pt>
                <c:pt idx="1">
                  <c:v>0.649532710280374</c:v>
                </c:pt>
                <c:pt idx="2">
                  <c:v>0.271028037383178</c:v>
                </c:pt>
                <c:pt idx="3">
                  <c:v>0.119158878504673</c:v>
                </c:pt>
                <c:pt idx="4">
                  <c:v>0.0700934579439252</c:v>
                </c:pt>
                <c:pt idx="5">
                  <c:v>0.0116822429906542</c:v>
                </c:pt>
                <c:pt idx="6">
                  <c:v>0.014018691588785</c:v>
                </c:pt>
                <c:pt idx="7">
                  <c:v>0.00934579439252336</c:v>
                </c:pt>
              </c:numCache>
            </c:numRef>
          </c:val>
        </c:ser>
        <c:dLbls>
          <c:showLegendKey val="0"/>
          <c:showVal val="0"/>
          <c:showCatName val="0"/>
          <c:showSerName val="0"/>
          <c:showPercent val="0"/>
          <c:showBubbleSize val="0"/>
        </c:dLbls>
        <c:gapWidth val="50"/>
        <c:axId val="2096597928"/>
        <c:axId val="2096603096"/>
      </c:barChart>
      <c:catAx>
        <c:axId val="2096597928"/>
        <c:scaling>
          <c:orientation val="maxMin"/>
        </c:scaling>
        <c:delete val="0"/>
        <c:axPos val="l"/>
        <c:majorTickMark val="none"/>
        <c:minorTickMark val="none"/>
        <c:tickLblPos val="nextTo"/>
        <c:txPr>
          <a:bodyPr/>
          <a:lstStyle/>
          <a:p>
            <a:pPr>
              <a:defRPr sz="900">
                <a:latin typeface="+mj-lt"/>
              </a:defRPr>
            </a:pPr>
            <a:endParaRPr lang="en-US"/>
          </a:p>
        </c:txPr>
        <c:crossAx val="2096603096"/>
        <c:crosses val="autoZero"/>
        <c:auto val="1"/>
        <c:lblAlgn val="ctr"/>
        <c:lblOffset val="100"/>
        <c:noMultiLvlLbl val="0"/>
      </c:catAx>
      <c:valAx>
        <c:axId val="2096603096"/>
        <c:scaling>
          <c:orientation val="minMax"/>
        </c:scaling>
        <c:delete val="0"/>
        <c:axPos val="t"/>
        <c:majorGridlines/>
        <c:numFmt formatCode="0%" sourceLinked="1"/>
        <c:majorTickMark val="none"/>
        <c:minorTickMark val="none"/>
        <c:tickLblPos val="nextTo"/>
        <c:txPr>
          <a:bodyPr/>
          <a:lstStyle/>
          <a:p>
            <a:pPr>
              <a:defRPr sz="800"/>
            </a:pPr>
            <a:endParaRPr lang="en-US"/>
          </a:p>
        </c:txPr>
        <c:crossAx val="2096597928"/>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mj-lt"/>
              </a:defRPr>
            </a:pPr>
            <a:r>
              <a:rPr lang="en-US" sz="1000">
                <a:latin typeface="+mj-lt"/>
              </a:rPr>
              <a:t>Size of</a:t>
            </a:r>
            <a:r>
              <a:rPr lang="en-US" sz="1000" baseline="0">
                <a:latin typeface="+mj-lt"/>
              </a:rPr>
              <a:t> Household</a:t>
            </a:r>
            <a:endParaRPr lang="en-US" sz="1000">
              <a:latin typeface="+mj-lt"/>
            </a:endParaRPr>
          </a:p>
        </c:rich>
      </c:tx>
      <c:layout>
        <c:manualLayout>
          <c:xMode val="edge"/>
          <c:yMode val="edge"/>
          <c:x val="0.0391167979002625"/>
          <c:y val="0.0462962962962963"/>
        </c:manualLayout>
      </c:layout>
      <c:overlay val="0"/>
    </c:title>
    <c:autoTitleDeleted val="0"/>
    <c:plotArea>
      <c:layout>
        <c:manualLayout>
          <c:layoutTarget val="inner"/>
          <c:xMode val="edge"/>
          <c:yMode val="edge"/>
          <c:x val="0.206926509186352"/>
          <c:y val="0.180931992496076"/>
          <c:w val="0.734212379702537"/>
          <c:h val="0.778707933996095"/>
        </c:manualLayout>
      </c:layout>
      <c:barChart>
        <c:barDir val="bar"/>
        <c:grouping val="clustered"/>
        <c:varyColors val="0"/>
        <c:ser>
          <c:idx val="1"/>
          <c:order val="0"/>
          <c:tx>
            <c:strRef>
              <c:f>'db2 pt'!$AE$501</c:f>
              <c:strCache>
                <c:ptCount val="1"/>
                <c:pt idx="0">
                  <c:v>IDP Camp</c:v>
                </c:pt>
              </c:strCache>
            </c:strRef>
          </c:tx>
          <c:spPr>
            <a:solidFill>
              <a:srgbClr val="FFFF00"/>
            </a:solidFill>
            <a:ln>
              <a:solidFill>
                <a:schemeClr val="tx1"/>
              </a:solidFill>
            </a:ln>
          </c:spPr>
          <c:invertIfNegative val="0"/>
          <c:cat>
            <c:strRef>
              <c:f>'db2 pt'!$AC$502:$AC$512</c:f>
              <c:strCache>
                <c:ptCount val="11"/>
                <c:pt idx="0">
                  <c:v>1 member</c:v>
                </c:pt>
                <c:pt idx="1">
                  <c:v>2 members</c:v>
                </c:pt>
                <c:pt idx="2">
                  <c:v>3 members</c:v>
                </c:pt>
                <c:pt idx="3">
                  <c:v>4 members</c:v>
                </c:pt>
                <c:pt idx="4">
                  <c:v>5 members</c:v>
                </c:pt>
                <c:pt idx="5">
                  <c:v>6 members</c:v>
                </c:pt>
                <c:pt idx="6">
                  <c:v>7 members</c:v>
                </c:pt>
                <c:pt idx="7">
                  <c:v>8 members</c:v>
                </c:pt>
                <c:pt idx="8">
                  <c:v>9 members</c:v>
                </c:pt>
                <c:pt idx="9">
                  <c:v>10 members</c:v>
                </c:pt>
                <c:pt idx="10">
                  <c:v> +10 members</c:v>
                </c:pt>
              </c:strCache>
            </c:strRef>
          </c:cat>
          <c:val>
            <c:numRef>
              <c:f>'db2 pt'!$AE$502:$AE$512</c:f>
              <c:numCache>
                <c:formatCode>0%</c:formatCode>
                <c:ptCount val="11"/>
                <c:pt idx="0">
                  <c:v>0.0</c:v>
                </c:pt>
                <c:pt idx="1">
                  <c:v>0.00909090909090909</c:v>
                </c:pt>
                <c:pt idx="2">
                  <c:v>0.0636363636363636</c:v>
                </c:pt>
                <c:pt idx="3">
                  <c:v>0.131818181818182</c:v>
                </c:pt>
                <c:pt idx="4">
                  <c:v>0.209090909090909</c:v>
                </c:pt>
                <c:pt idx="5">
                  <c:v>0.190909090909091</c:v>
                </c:pt>
                <c:pt idx="6">
                  <c:v>0.186363636363636</c:v>
                </c:pt>
                <c:pt idx="7">
                  <c:v>0.0727272727272727</c:v>
                </c:pt>
                <c:pt idx="8">
                  <c:v>0.0363636363636364</c:v>
                </c:pt>
                <c:pt idx="9">
                  <c:v>0.0636363636363636</c:v>
                </c:pt>
                <c:pt idx="10">
                  <c:v>0.0363636363636364</c:v>
                </c:pt>
              </c:numCache>
            </c:numRef>
          </c:val>
        </c:ser>
        <c:ser>
          <c:idx val="2"/>
          <c:order val="1"/>
          <c:tx>
            <c:strRef>
              <c:f>'db2 pt'!$AF$501</c:f>
              <c:strCache>
                <c:ptCount val="1"/>
                <c:pt idx="0">
                  <c:v>Village</c:v>
                </c:pt>
              </c:strCache>
            </c:strRef>
          </c:tx>
          <c:spPr>
            <a:solidFill>
              <a:schemeClr val="tx2"/>
            </a:solidFill>
            <a:ln>
              <a:solidFill>
                <a:schemeClr val="tx1"/>
              </a:solidFill>
            </a:ln>
          </c:spPr>
          <c:invertIfNegative val="0"/>
          <c:cat>
            <c:strRef>
              <c:f>'db2 pt'!$AC$502:$AC$512</c:f>
              <c:strCache>
                <c:ptCount val="11"/>
                <c:pt idx="0">
                  <c:v>1 member</c:v>
                </c:pt>
                <c:pt idx="1">
                  <c:v>2 members</c:v>
                </c:pt>
                <c:pt idx="2">
                  <c:v>3 members</c:v>
                </c:pt>
                <c:pt idx="3">
                  <c:v>4 members</c:v>
                </c:pt>
                <c:pt idx="4">
                  <c:v>5 members</c:v>
                </c:pt>
                <c:pt idx="5">
                  <c:v>6 members</c:v>
                </c:pt>
                <c:pt idx="6">
                  <c:v>7 members</c:v>
                </c:pt>
                <c:pt idx="7">
                  <c:v>8 members</c:v>
                </c:pt>
                <c:pt idx="8">
                  <c:v>9 members</c:v>
                </c:pt>
                <c:pt idx="9">
                  <c:v>10 members</c:v>
                </c:pt>
                <c:pt idx="10">
                  <c:v> +10 members</c:v>
                </c:pt>
              </c:strCache>
            </c:strRef>
          </c:cat>
          <c:val>
            <c:numRef>
              <c:f>'db2 pt'!$AF$502:$AF$512</c:f>
              <c:numCache>
                <c:formatCode>0%</c:formatCode>
                <c:ptCount val="11"/>
                <c:pt idx="0">
                  <c:v>0.0</c:v>
                </c:pt>
                <c:pt idx="1">
                  <c:v>0.00480769230769231</c:v>
                </c:pt>
                <c:pt idx="2">
                  <c:v>0.0625</c:v>
                </c:pt>
                <c:pt idx="3">
                  <c:v>0.139423076923077</c:v>
                </c:pt>
                <c:pt idx="4">
                  <c:v>0.182692307692308</c:v>
                </c:pt>
                <c:pt idx="5">
                  <c:v>0.225961538461538</c:v>
                </c:pt>
                <c:pt idx="6">
                  <c:v>0.1875</c:v>
                </c:pt>
                <c:pt idx="7">
                  <c:v>0.0865384615384615</c:v>
                </c:pt>
                <c:pt idx="8">
                  <c:v>0.0432692307692308</c:v>
                </c:pt>
                <c:pt idx="9">
                  <c:v>0.0288461538461538</c:v>
                </c:pt>
                <c:pt idx="10">
                  <c:v>0.0384615384615385</c:v>
                </c:pt>
              </c:numCache>
            </c:numRef>
          </c:val>
        </c:ser>
        <c:dLbls>
          <c:showLegendKey val="0"/>
          <c:showVal val="0"/>
          <c:showCatName val="0"/>
          <c:showSerName val="0"/>
          <c:showPercent val="0"/>
          <c:showBubbleSize val="0"/>
        </c:dLbls>
        <c:gapWidth val="50"/>
        <c:axId val="2089333160"/>
        <c:axId val="2089365960"/>
      </c:barChart>
      <c:catAx>
        <c:axId val="2089333160"/>
        <c:scaling>
          <c:orientation val="maxMin"/>
        </c:scaling>
        <c:delete val="0"/>
        <c:axPos val="l"/>
        <c:majorTickMark val="none"/>
        <c:minorTickMark val="none"/>
        <c:tickLblPos val="nextTo"/>
        <c:txPr>
          <a:bodyPr/>
          <a:lstStyle/>
          <a:p>
            <a:pPr>
              <a:defRPr sz="800">
                <a:latin typeface="+mj-lt"/>
              </a:defRPr>
            </a:pPr>
            <a:endParaRPr lang="en-US"/>
          </a:p>
        </c:txPr>
        <c:crossAx val="2089365960"/>
        <c:crosses val="autoZero"/>
        <c:auto val="1"/>
        <c:lblAlgn val="ctr"/>
        <c:lblOffset val="100"/>
        <c:noMultiLvlLbl val="0"/>
      </c:catAx>
      <c:valAx>
        <c:axId val="2089365960"/>
        <c:scaling>
          <c:orientation val="minMax"/>
        </c:scaling>
        <c:delete val="0"/>
        <c:axPos val="t"/>
        <c:majorGridlines/>
        <c:numFmt formatCode="0%" sourceLinked="1"/>
        <c:majorTickMark val="none"/>
        <c:minorTickMark val="none"/>
        <c:tickLblPos val="nextTo"/>
        <c:txPr>
          <a:bodyPr/>
          <a:lstStyle/>
          <a:p>
            <a:pPr>
              <a:defRPr sz="800"/>
            </a:pPr>
            <a:endParaRPr lang="en-US"/>
          </a:p>
        </c:txPr>
        <c:crossAx val="2089333160"/>
        <c:crosses val="autoZero"/>
        <c:crossBetween val="between"/>
      </c:valAx>
      <c:spPr>
        <a:ln>
          <a:solidFill>
            <a:schemeClr val="tx1"/>
          </a:solidFill>
        </a:ln>
      </c:spPr>
    </c:plotArea>
    <c:legend>
      <c:legendPos val="t"/>
      <c:layout>
        <c:manualLayout>
          <c:xMode val="edge"/>
          <c:yMode val="edge"/>
          <c:x val="0.526436351706037"/>
          <c:y val="0.0490740740740741"/>
          <c:w val="0.294876640419947"/>
          <c:h val="0.0813732308988119"/>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latin typeface="+mj-lt"/>
              </a:defRPr>
            </a:pPr>
            <a:r>
              <a:rPr lang="en-US" sz="1000">
                <a:latin typeface="+mj-lt"/>
              </a:rPr>
              <a:t>Special times for Handwashing </a:t>
            </a:r>
          </a:p>
          <a:p>
            <a:pPr algn="l">
              <a:defRPr>
                <a:latin typeface="+mj-lt"/>
              </a:defRPr>
            </a:pPr>
            <a:r>
              <a:rPr lang="en-US" sz="1000">
                <a:latin typeface="+mj-lt"/>
              </a:rPr>
              <a:t>when Caring for Children (n=410)</a:t>
            </a:r>
          </a:p>
        </c:rich>
      </c:tx>
      <c:layout>
        <c:manualLayout>
          <c:xMode val="edge"/>
          <c:yMode val="edge"/>
          <c:x val="0.0331104549431321"/>
          <c:y val="0.037037037037037"/>
        </c:manualLayout>
      </c:layout>
      <c:overlay val="0"/>
    </c:title>
    <c:autoTitleDeleted val="0"/>
    <c:plotArea>
      <c:layout/>
      <c:barChart>
        <c:barDir val="bar"/>
        <c:grouping val="clustered"/>
        <c:varyColors val="0"/>
        <c:ser>
          <c:idx val="2"/>
          <c:order val="0"/>
          <c:tx>
            <c:strRef>
              <c:f>Database!$HW$480</c:f>
              <c:strCache>
                <c:ptCount val="1"/>
                <c:pt idx="0">
                  <c:v>TOTAL</c:v>
                </c:pt>
              </c:strCache>
            </c:strRef>
          </c:tx>
          <c:spPr>
            <a:solidFill>
              <a:srgbClr val="008000"/>
            </a:solidFill>
            <a:ln>
              <a:solidFill>
                <a:schemeClr val="tx1"/>
              </a:solidFill>
            </a:ln>
          </c:spPr>
          <c:invertIfNegative val="0"/>
          <c:dPt>
            <c:idx val="0"/>
            <c:invertIfNegative val="0"/>
            <c:bubble3D val="0"/>
            <c:spPr>
              <a:solidFill>
                <a:srgbClr val="FF0000"/>
              </a:solidFill>
              <a:ln>
                <a:solidFill>
                  <a:schemeClr val="tx1"/>
                </a:solidFill>
              </a:ln>
            </c:spPr>
          </c:dPt>
          <c:dLbls>
            <c:txPr>
              <a:bodyPr/>
              <a:lstStyle/>
              <a:p>
                <a:pPr>
                  <a:defRPr sz="800" b="1"/>
                </a:pPr>
                <a:endParaRPr lang="en-US"/>
              </a:p>
            </c:txPr>
            <c:showLegendKey val="0"/>
            <c:showVal val="1"/>
            <c:showCatName val="0"/>
            <c:showSerName val="0"/>
            <c:showPercent val="0"/>
            <c:showBubbleSize val="0"/>
            <c:showLeaderLines val="0"/>
          </c:dLbls>
          <c:cat>
            <c:strRef>
              <c:f>Database!$HX$477:$IE$477</c:f>
              <c:strCache>
                <c:ptCount val="8"/>
                <c:pt idx="0">
                  <c:v>No answer</c:v>
                </c:pt>
                <c:pt idx="1">
                  <c:v>Before Feeding Infant</c:v>
                </c:pt>
                <c:pt idx="2">
                  <c:v>Before BREASTFEEDING</c:v>
                </c:pt>
                <c:pt idx="3">
                  <c:v>Before SUPPLEMENTARY FEEDING</c:v>
                </c:pt>
                <c:pt idx="4">
                  <c:v>After cleaning infant's bottom</c:v>
                </c:pt>
                <c:pt idx="5">
                  <c:v>After touching/playing with children</c:v>
                </c:pt>
                <c:pt idx="6">
                  <c:v>Before cleaning infant's bottom</c:v>
                </c:pt>
                <c:pt idx="7">
                  <c:v>Other</c:v>
                </c:pt>
              </c:strCache>
            </c:strRef>
          </c:cat>
          <c:val>
            <c:numRef>
              <c:f>Database!$HX$480:$IE$480</c:f>
              <c:numCache>
                <c:formatCode>0%</c:formatCode>
                <c:ptCount val="8"/>
                <c:pt idx="0">
                  <c:v>0.0146341463414634</c:v>
                </c:pt>
                <c:pt idx="1">
                  <c:v>0.778048780487805</c:v>
                </c:pt>
                <c:pt idx="2">
                  <c:v>0.258536585365854</c:v>
                </c:pt>
                <c:pt idx="3">
                  <c:v>0.226829268292683</c:v>
                </c:pt>
                <c:pt idx="4">
                  <c:v>0.192682926829268</c:v>
                </c:pt>
                <c:pt idx="5">
                  <c:v>0.148780487804878</c:v>
                </c:pt>
                <c:pt idx="6">
                  <c:v>0.131707317073171</c:v>
                </c:pt>
                <c:pt idx="7">
                  <c:v>0.0170731707317073</c:v>
                </c:pt>
              </c:numCache>
            </c:numRef>
          </c:val>
        </c:ser>
        <c:dLbls>
          <c:showLegendKey val="0"/>
          <c:showVal val="0"/>
          <c:showCatName val="0"/>
          <c:showSerName val="0"/>
          <c:showPercent val="0"/>
          <c:showBubbleSize val="0"/>
        </c:dLbls>
        <c:gapWidth val="50"/>
        <c:axId val="2091710328"/>
        <c:axId val="2091713384"/>
      </c:barChart>
      <c:catAx>
        <c:axId val="2091710328"/>
        <c:scaling>
          <c:orientation val="maxMin"/>
        </c:scaling>
        <c:delete val="0"/>
        <c:axPos val="l"/>
        <c:majorTickMark val="none"/>
        <c:minorTickMark val="none"/>
        <c:tickLblPos val="nextTo"/>
        <c:txPr>
          <a:bodyPr/>
          <a:lstStyle/>
          <a:p>
            <a:pPr algn="r">
              <a:defRPr sz="900">
                <a:latin typeface="+mj-lt"/>
              </a:defRPr>
            </a:pPr>
            <a:endParaRPr lang="en-US"/>
          </a:p>
        </c:txPr>
        <c:crossAx val="2091713384"/>
        <c:crosses val="autoZero"/>
        <c:auto val="1"/>
        <c:lblAlgn val="ctr"/>
        <c:lblOffset val="100"/>
        <c:noMultiLvlLbl val="0"/>
      </c:catAx>
      <c:valAx>
        <c:axId val="2091713384"/>
        <c:scaling>
          <c:orientation val="minMax"/>
          <c:max val="1.0"/>
        </c:scaling>
        <c:delete val="0"/>
        <c:axPos val="t"/>
        <c:majorGridlines/>
        <c:numFmt formatCode="0%" sourceLinked="1"/>
        <c:majorTickMark val="none"/>
        <c:minorTickMark val="none"/>
        <c:tickLblPos val="nextTo"/>
        <c:txPr>
          <a:bodyPr/>
          <a:lstStyle/>
          <a:p>
            <a:pPr>
              <a:defRPr sz="800"/>
            </a:pPr>
            <a:endParaRPr lang="en-US"/>
          </a:p>
        </c:txPr>
        <c:crossAx val="2091710328"/>
        <c:crosses val="autoZero"/>
        <c:crossBetween val="between"/>
        <c:majorUnit val="0.2"/>
      </c:valAx>
      <c:spPr>
        <a:ln>
          <a:solidFill>
            <a:schemeClr val="tx1"/>
          </a:solidFill>
        </a:ln>
      </c:spPr>
    </c:plotArea>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Status</a:t>
            </a:r>
            <a:r>
              <a:rPr lang="en-US" sz="1000" baseline="0">
                <a:latin typeface="+mj-lt"/>
              </a:rPr>
              <a:t> of Respondent (n=428)</a:t>
            </a:r>
            <a:endParaRPr lang="en-US" sz="1000">
              <a:latin typeface="+mj-lt"/>
            </a:endParaRPr>
          </a:p>
        </c:rich>
      </c:tx>
      <c:layout>
        <c:manualLayout>
          <c:xMode val="edge"/>
          <c:yMode val="edge"/>
          <c:x val="0.0675355991309522"/>
          <c:y val="0.0231481481481481"/>
        </c:manualLayout>
      </c:layout>
      <c:overlay val="0"/>
    </c:title>
    <c:autoTitleDeleted val="0"/>
    <c:plotArea>
      <c:layout/>
      <c:barChart>
        <c:barDir val="col"/>
        <c:grouping val="clustered"/>
        <c:varyColors val="0"/>
        <c:ser>
          <c:idx val="2"/>
          <c:order val="0"/>
          <c:tx>
            <c:strRef>
              <c:f>Database!$HQ$453</c:f>
              <c:strCache>
                <c:ptCount val="1"/>
                <c:pt idx="0">
                  <c:v>TOTAL</c:v>
                </c:pt>
              </c:strCache>
            </c:strRef>
          </c:tx>
          <c:spPr>
            <a:solidFill>
              <a:srgbClr val="008000"/>
            </a:solidFill>
            <a:ln>
              <a:solidFill>
                <a:schemeClr val="tx1"/>
              </a:solidFill>
            </a:ln>
          </c:spPr>
          <c:invertIfNegative val="0"/>
          <c:dPt>
            <c:idx val="2"/>
            <c:invertIfNegative val="0"/>
            <c:bubble3D val="0"/>
            <c:spPr>
              <a:solidFill>
                <a:srgbClr val="FF0000"/>
              </a:solidFill>
              <a:ln>
                <a:solidFill>
                  <a:schemeClr val="tx1"/>
                </a:solidFill>
              </a:ln>
            </c:spPr>
          </c:dPt>
          <c:dLbls>
            <c:dLbl>
              <c:idx val="0"/>
              <c:layout>
                <c:manualLayout>
                  <c:x val="0.179455445544554"/>
                  <c:y val="0.0850159404888416"/>
                </c:manualLayout>
              </c:layout>
              <c:showLegendKey val="0"/>
              <c:showVal val="1"/>
              <c:showCatName val="0"/>
              <c:showSerName val="0"/>
              <c:showPercent val="0"/>
              <c:showBubbleSize val="0"/>
            </c:dLbl>
            <c:txPr>
              <a:bodyPr/>
              <a:lstStyle/>
              <a:p>
                <a:pPr>
                  <a:defRPr sz="800" b="1"/>
                </a:pPr>
                <a:endParaRPr lang="en-US"/>
              </a:p>
            </c:txPr>
            <c:showLegendKey val="0"/>
            <c:showVal val="1"/>
            <c:showCatName val="0"/>
            <c:showSerName val="0"/>
            <c:showPercent val="0"/>
            <c:showBubbleSize val="0"/>
            <c:showLeaderLines val="0"/>
          </c:dLbls>
          <c:cat>
            <c:strRef>
              <c:f>Database!$HR$450:$HT$450</c:f>
              <c:strCache>
                <c:ptCount val="3"/>
                <c:pt idx="0">
                  <c:v>MOTHER</c:v>
                </c:pt>
                <c:pt idx="1">
                  <c:v>CARE GIVER</c:v>
                </c:pt>
                <c:pt idx="2">
                  <c:v>NEITHER</c:v>
                </c:pt>
              </c:strCache>
            </c:strRef>
          </c:cat>
          <c:val>
            <c:numRef>
              <c:f>Database!$HR$453:$HT$453</c:f>
              <c:numCache>
                <c:formatCode>0%</c:formatCode>
                <c:ptCount val="3"/>
                <c:pt idx="0">
                  <c:v>0.908878504672897</c:v>
                </c:pt>
                <c:pt idx="1">
                  <c:v>0.0420560747663551</c:v>
                </c:pt>
                <c:pt idx="2">
                  <c:v>0.0490654205607477</c:v>
                </c:pt>
              </c:numCache>
            </c:numRef>
          </c:val>
        </c:ser>
        <c:dLbls>
          <c:showLegendKey val="0"/>
          <c:showVal val="0"/>
          <c:showCatName val="0"/>
          <c:showSerName val="0"/>
          <c:showPercent val="0"/>
          <c:showBubbleSize val="0"/>
        </c:dLbls>
        <c:gapWidth val="50"/>
        <c:axId val="2091657544"/>
        <c:axId val="2091660600"/>
      </c:barChart>
      <c:catAx>
        <c:axId val="2091657544"/>
        <c:scaling>
          <c:orientation val="minMax"/>
        </c:scaling>
        <c:delete val="0"/>
        <c:axPos val="b"/>
        <c:majorTickMark val="out"/>
        <c:minorTickMark val="none"/>
        <c:tickLblPos val="nextTo"/>
        <c:txPr>
          <a:bodyPr/>
          <a:lstStyle/>
          <a:p>
            <a:pPr>
              <a:defRPr sz="900">
                <a:latin typeface="+mj-lt"/>
              </a:defRPr>
            </a:pPr>
            <a:endParaRPr lang="en-US"/>
          </a:p>
        </c:txPr>
        <c:crossAx val="2091660600"/>
        <c:crosses val="autoZero"/>
        <c:auto val="1"/>
        <c:lblAlgn val="ctr"/>
        <c:lblOffset val="100"/>
        <c:noMultiLvlLbl val="0"/>
      </c:catAx>
      <c:valAx>
        <c:axId val="2091660600"/>
        <c:scaling>
          <c:orientation val="minMax"/>
          <c:max val="1.0"/>
          <c:min val="0.0"/>
        </c:scaling>
        <c:delete val="0"/>
        <c:axPos val="l"/>
        <c:majorGridlines/>
        <c:numFmt formatCode="0%" sourceLinked="1"/>
        <c:majorTickMark val="out"/>
        <c:minorTickMark val="none"/>
        <c:tickLblPos val="nextTo"/>
        <c:txPr>
          <a:bodyPr/>
          <a:lstStyle/>
          <a:p>
            <a:pPr>
              <a:defRPr sz="800"/>
            </a:pPr>
            <a:endParaRPr lang="en-US"/>
          </a:p>
        </c:txPr>
        <c:crossAx val="2091657544"/>
        <c:crosses val="autoZero"/>
        <c:crossBetween val="between"/>
        <c:majorUnit val="0.2"/>
        <c:minorUnit val="0.05"/>
      </c:valAx>
      <c:spPr>
        <a:ln>
          <a:solidFill>
            <a:schemeClr val="tx1"/>
          </a:solidFill>
        </a:ln>
      </c:spPr>
    </c:plotArea>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sz="1000">
                <a:latin typeface="+mj-lt"/>
              </a:defRPr>
            </a:pPr>
            <a:r>
              <a:rPr lang="en-US" sz="1000">
                <a:latin typeface="+mj-lt"/>
              </a:rPr>
              <a:t>Frequency</a:t>
            </a:r>
            <a:r>
              <a:rPr lang="en-US" sz="1000" baseline="0">
                <a:latin typeface="+mj-lt"/>
              </a:rPr>
              <a:t> of children using soap</a:t>
            </a:r>
          </a:p>
          <a:p>
            <a:pPr algn="l">
              <a:defRPr sz="1000">
                <a:latin typeface="+mj-lt"/>
              </a:defRPr>
            </a:pPr>
            <a:r>
              <a:rPr lang="en-US" sz="1000" baseline="0">
                <a:latin typeface="+mj-lt"/>
              </a:rPr>
              <a:t> for handwashing</a:t>
            </a:r>
            <a:endParaRPr lang="en-US" sz="1000">
              <a:latin typeface="+mj-lt"/>
            </a:endParaRPr>
          </a:p>
        </c:rich>
      </c:tx>
      <c:layout>
        <c:manualLayout>
          <c:xMode val="edge"/>
          <c:yMode val="edge"/>
          <c:x val="0.023088145231846"/>
          <c:y val="0.037037037037037"/>
        </c:manualLayout>
      </c:layout>
      <c:overlay val="0"/>
    </c:title>
    <c:autoTitleDeleted val="0"/>
    <c:plotArea>
      <c:layout>
        <c:manualLayout>
          <c:layoutTarget val="inner"/>
          <c:xMode val="edge"/>
          <c:yMode val="edge"/>
          <c:x val="0.309385608048994"/>
          <c:y val="0.204997083697871"/>
          <c:w val="0.636239501312336"/>
          <c:h val="0.734817731116944"/>
        </c:manualLayout>
      </c:layout>
      <c:barChart>
        <c:barDir val="bar"/>
        <c:grouping val="clustered"/>
        <c:varyColors val="0"/>
        <c:ser>
          <c:idx val="0"/>
          <c:order val="0"/>
          <c:tx>
            <c:strRef>
              <c:f>Database!$IZ$452</c:f>
              <c:strCache>
                <c:ptCount val="1"/>
                <c:pt idx="0">
                  <c:v>IDP Camp</c:v>
                </c:pt>
              </c:strCache>
            </c:strRef>
          </c:tx>
          <c:spPr>
            <a:solidFill>
              <a:srgbClr val="FFFF00"/>
            </a:solidFill>
            <a:ln>
              <a:solidFill>
                <a:schemeClr val="tx1"/>
              </a:solidFill>
            </a:ln>
          </c:spPr>
          <c:invertIfNegative val="0"/>
          <c:dLbls>
            <c:dLbl>
              <c:idx val="0"/>
              <c:layout>
                <c:manualLayout>
                  <c:x val="0.0"/>
                  <c:y val="0.00925925925925926"/>
                </c:manualLayout>
              </c:layout>
              <c:showLegendKey val="0"/>
              <c:showVal val="1"/>
              <c:showCatName val="0"/>
              <c:showSerName val="0"/>
              <c:showPercent val="0"/>
              <c:showBubbleSize val="0"/>
            </c:dLbl>
            <c:dLbl>
              <c:idx val="3"/>
              <c:delete val="1"/>
            </c:dLbl>
            <c:dLbl>
              <c:idx val="5"/>
              <c:delete val="1"/>
            </c:dLbl>
            <c:dLbl>
              <c:idx val="6"/>
              <c:delete val="1"/>
            </c:dLbl>
            <c:txPr>
              <a:bodyPr/>
              <a:lstStyle/>
              <a:p>
                <a:pPr>
                  <a:defRPr sz="700" b="1"/>
                </a:pPr>
                <a:endParaRPr lang="en-US"/>
              </a:p>
            </c:txPr>
            <c:showLegendKey val="0"/>
            <c:showVal val="1"/>
            <c:showCatName val="0"/>
            <c:showSerName val="0"/>
            <c:showPercent val="0"/>
            <c:showBubbleSize val="0"/>
            <c:showLeaderLines val="0"/>
          </c:dLbls>
          <c:cat>
            <c:strRef>
              <c:f>Database!$JA$451:$JG$451</c:f>
              <c:strCache>
                <c:ptCount val="7"/>
                <c:pt idx="0">
                  <c:v>DON'T WANT TO ANSWER</c:v>
                </c:pt>
                <c:pt idx="1">
                  <c:v>ALWAYS</c:v>
                </c:pt>
                <c:pt idx="2">
                  <c:v>MOST OF THE TIME</c:v>
                </c:pt>
                <c:pt idx="3">
                  <c:v>ABOUT HALF THE TIME</c:v>
                </c:pt>
                <c:pt idx="4">
                  <c:v>SOMETIMES</c:v>
                </c:pt>
                <c:pt idx="5">
                  <c:v>RARELY</c:v>
                </c:pt>
                <c:pt idx="6">
                  <c:v>NEVER</c:v>
                </c:pt>
              </c:strCache>
            </c:strRef>
          </c:cat>
          <c:val>
            <c:numRef>
              <c:f>Database!$JA$452:$JG$452</c:f>
              <c:numCache>
                <c:formatCode>0%</c:formatCode>
                <c:ptCount val="7"/>
                <c:pt idx="0">
                  <c:v>0.136363636363636</c:v>
                </c:pt>
                <c:pt idx="1">
                  <c:v>0.304545454545454</c:v>
                </c:pt>
                <c:pt idx="2">
                  <c:v>0.309090909090909</c:v>
                </c:pt>
                <c:pt idx="3">
                  <c:v>0.0272727272727273</c:v>
                </c:pt>
                <c:pt idx="4">
                  <c:v>0.204545454545455</c:v>
                </c:pt>
                <c:pt idx="5">
                  <c:v>0.0181818181818182</c:v>
                </c:pt>
                <c:pt idx="6">
                  <c:v>0.0</c:v>
                </c:pt>
              </c:numCache>
            </c:numRef>
          </c:val>
        </c:ser>
        <c:ser>
          <c:idx val="1"/>
          <c:order val="1"/>
          <c:tx>
            <c:strRef>
              <c:f>Database!$IZ$453</c:f>
              <c:strCache>
                <c:ptCount val="1"/>
                <c:pt idx="0">
                  <c:v>Village</c:v>
                </c:pt>
              </c:strCache>
            </c:strRef>
          </c:tx>
          <c:spPr>
            <a:solidFill>
              <a:schemeClr val="tx2"/>
            </a:solidFill>
            <a:ln>
              <a:solidFill>
                <a:schemeClr val="tx1"/>
              </a:solidFill>
            </a:ln>
          </c:spPr>
          <c:invertIfNegative val="0"/>
          <c:dLbls>
            <c:dLbl>
              <c:idx val="5"/>
              <c:delete val="1"/>
            </c:dLbl>
            <c:dLbl>
              <c:idx val="6"/>
              <c:delete val="1"/>
            </c:dLbl>
            <c:txPr>
              <a:bodyPr/>
              <a:lstStyle/>
              <a:p>
                <a:pPr>
                  <a:defRPr sz="700"/>
                </a:pPr>
                <a:endParaRPr lang="en-US"/>
              </a:p>
            </c:txPr>
            <c:showLegendKey val="0"/>
            <c:showVal val="1"/>
            <c:showCatName val="0"/>
            <c:showSerName val="0"/>
            <c:showPercent val="0"/>
            <c:showBubbleSize val="0"/>
            <c:showLeaderLines val="0"/>
          </c:dLbls>
          <c:cat>
            <c:strRef>
              <c:f>Database!$JA$451:$JG$451</c:f>
              <c:strCache>
                <c:ptCount val="7"/>
                <c:pt idx="0">
                  <c:v>DON'T WANT TO ANSWER</c:v>
                </c:pt>
                <c:pt idx="1">
                  <c:v>ALWAYS</c:v>
                </c:pt>
                <c:pt idx="2">
                  <c:v>MOST OF THE TIME</c:v>
                </c:pt>
                <c:pt idx="3">
                  <c:v>ABOUT HALF THE TIME</c:v>
                </c:pt>
                <c:pt idx="4">
                  <c:v>SOMETIMES</c:v>
                </c:pt>
                <c:pt idx="5">
                  <c:v>RARELY</c:v>
                </c:pt>
                <c:pt idx="6">
                  <c:v>NEVER</c:v>
                </c:pt>
              </c:strCache>
            </c:strRef>
          </c:cat>
          <c:val>
            <c:numRef>
              <c:f>Database!$JA$453:$JG$453</c:f>
              <c:numCache>
                <c:formatCode>0%</c:formatCode>
                <c:ptCount val="7"/>
                <c:pt idx="0">
                  <c:v>0.254807692307692</c:v>
                </c:pt>
                <c:pt idx="1">
                  <c:v>0.278846153846154</c:v>
                </c:pt>
                <c:pt idx="2">
                  <c:v>0.134615384615385</c:v>
                </c:pt>
                <c:pt idx="3">
                  <c:v>0.0961538461538461</c:v>
                </c:pt>
                <c:pt idx="4">
                  <c:v>0.201923076923077</c:v>
                </c:pt>
                <c:pt idx="5">
                  <c:v>0.0192307692307692</c:v>
                </c:pt>
                <c:pt idx="6">
                  <c:v>0.0144230769230769</c:v>
                </c:pt>
              </c:numCache>
            </c:numRef>
          </c:val>
        </c:ser>
        <c:dLbls>
          <c:showLegendKey val="0"/>
          <c:showVal val="0"/>
          <c:showCatName val="0"/>
          <c:showSerName val="0"/>
          <c:showPercent val="0"/>
          <c:showBubbleSize val="0"/>
        </c:dLbls>
        <c:gapWidth val="50"/>
        <c:axId val="2091615048"/>
        <c:axId val="2091595208"/>
      </c:barChart>
      <c:catAx>
        <c:axId val="2091615048"/>
        <c:scaling>
          <c:orientation val="maxMin"/>
        </c:scaling>
        <c:delete val="0"/>
        <c:axPos val="l"/>
        <c:majorTickMark val="none"/>
        <c:minorTickMark val="none"/>
        <c:tickLblPos val="nextTo"/>
        <c:txPr>
          <a:bodyPr/>
          <a:lstStyle/>
          <a:p>
            <a:pPr>
              <a:defRPr sz="800">
                <a:latin typeface="+mj-lt"/>
              </a:defRPr>
            </a:pPr>
            <a:endParaRPr lang="en-US"/>
          </a:p>
        </c:txPr>
        <c:crossAx val="2091595208"/>
        <c:crosses val="autoZero"/>
        <c:auto val="1"/>
        <c:lblAlgn val="ctr"/>
        <c:lblOffset val="100"/>
        <c:noMultiLvlLbl val="0"/>
      </c:catAx>
      <c:valAx>
        <c:axId val="2091595208"/>
        <c:scaling>
          <c:orientation val="minMax"/>
        </c:scaling>
        <c:delete val="0"/>
        <c:axPos val="t"/>
        <c:majorGridlines/>
        <c:numFmt formatCode="0%" sourceLinked="1"/>
        <c:majorTickMark val="none"/>
        <c:minorTickMark val="none"/>
        <c:tickLblPos val="nextTo"/>
        <c:txPr>
          <a:bodyPr/>
          <a:lstStyle/>
          <a:p>
            <a:pPr>
              <a:defRPr sz="800">
                <a:latin typeface="+mj-lt"/>
              </a:defRPr>
            </a:pPr>
            <a:endParaRPr lang="en-US"/>
          </a:p>
        </c:txPr>
        <c:crossAx val="2091615048"/>
        <c:crosses val="autoZero"/>
        <c:crossBetween val="between"/>
      </c:valAx>
      <c:spPr>
        <a:ln>
          <a:solidFill>
            <a:schemeClr val="tx1"/>
          </a:solidFill>
        </a:ln>
      </c:spPr>
    </c:plotArea>
    <c:legend>
      <c:legendPos val="t"/>
      <c:layout>
        <c:manualLayout>
          <c:xMode val="edge"/>
          <c:yMode val="edge"/>
          <c:x val="0.643514216972878"/>
          <c:y val="0.0416666666666667"/>
          <c:w val="0.294876640419947"/>
          <c:h val="0.0929764508603091"/>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Times to Remind Children to Wash Their</a:t>
            </a:r>
            <a:r>
              <a:rPr lang="en-US" sz="1000" baseline="0">
                <a:latin typeface="+mj-lt"/>
              </a:rPr>
              <a:t> Hands (n=410)</a:t>
            </a:r>
            <a:endParaRPr lang="en-US" sz="1000">
              <a:latin typeface="+mj-lt"/>
            </a:endParaRPr>
          </a:p>
        </c:rich>
      </c:tx>
      <c:layout>
        <c:manualLayout>
          <c:xMode val="edge"/>
          <c:yMode val="edge"/>
          <c:x val="0.0304586614173228"/>
          <c:y val="0.037037037037037"/>
        </c:manualLayout>
      </c:layout>
      <c:overlay val="0"/>
    </c:title>
    <c:autoTitleDeleted val="0"/>
    <c:plotArea>
      <c:layout/>
      <c:barChart>
        <c:barDir val="bar"/>
        <c:grouping val="clustered"/>
        <c:varyColors val="0"/>
        <c:ser>
          <c:idx val="2"/>
          <c:order val="0"/>
          <c:tx>
            <c:strRef>
              <c:f>Database!$IG$449</c:f>
              <c:strCache>
                <c:ptCount val="1"/>
                <c:pt idx="0">
                  <c:v>TOTAL</c:v>
                </c:pt>
              </c:strCache>
            </c:strRef>
          </c:tx>
          <c:spPr>
            <a:solidFill>
              <a:srgbClr val="008000"/>
            </a:solidFill>
            <a:ln>
              <a:solidFill>
                <a:schemeClr val="tx1"/>
              </a:solidFill>
            </a:ln>
          </c:spPr>
          <c:invertIfNegative val="0"/>
          <c:dPt>
            <c:idx val="0"/>
            <c:invertIfNegative val="0"/>
            <c:bubble3D val="0"/>
            <c:spPr>
              <a:solidFill>
                <a:srgbClr val="FF0000"/>
              </a:solidFill>
              <a:ln>
                <a:solidFill>
                  <a:schemeClr val="tx1"/>
                </a:solidFill>
              </a:ln>
            </c:spPr>
          </c:dPt>
          <c:dLbls>
            <c:txPr>
              <a:bodyPr/>
              <a:lstStyle/>
              <a:p>
                <a:pPr>
                  <a:defRPr sz="800" b="1"/>
                </a:pPr>
                <a:endParaRPr lang="en-US"/>
              </a:p>
            </c:txPr>
            <c:showLegendKey val="0"/>
            <c:showVal val="1"/>
            <c:showCatName val="0"/>
            <c:showSerName val="0"/>
            <c:showPercent val="0"/>
            <c:showBubbleSize val="0"/>
            <c:showLeaderLines val="0"/>
          </c:dLbls>
          <c:cat>
            <c:strRef>
              <c:f>Database!$IH$446:$IR$446</c:f>
              <c:strCache>
                <c:ptCount val="11"/>
                <c:pt idx="0">
                  <c:v>NEVER REMIND THEIR CHILDREN</c:v>
                </c:pt>
                <c:pt idx="1">
                  <c:v>Before eating</c:v>
                </c:pt>
                <c:pt idx="2">
                  <c:v>After waking up </c:v>
                </c:pt>
                <c:pt idx="3">
                  <c:v>After defecation</c:v>
                </c:pt>
                <c:pt idx="4">
                  <c:v>After playing</c:v>
                </c:pt>
                <c:pt idx="5">
                  <c:v>After eating</c:v>
                </c:pt>
                <c:pt idx="6">
                  <c:v>Before going to school</c:v>
                </c:pt>
                <c:pt idx="7">
                  <c:v>After returning from school</c:v>
                </c:pt>
                <c:pt idx="8">
                  <c:v>Before preparing food</c:v>
                </c:pt>
                <c:pt idx="9">
                  <c:v>After touching animals</c:v>
                </c:pt>
                <c:pt idx="10">
                  <c:v>Before Sleeping</c:v>
                </c:pt>
              </c:strCache>
            </c:strRef>
          </c:cat>
          <c:val>
            <c:numRef>
              <c:f>Database!$IH$449:$IR$449</c:f>
              <c:numCache>
                <c:formatCode>0%</c:formatCode>
                <c:ptCount val="11"/>
                <c:pt idx="0">
                  <c:v>0.0317073170731707</c:v>
                </c:pt>
                <c:pt idx="1">
                  <c:v>0.546341463414634</c:v>
                </c:pt>
                <c:pt idx="2">
                  <c:v>0.478048780487805</c:v>
                </c:pt>
                <c:pt idx="3">
                  <c:v>0.448780487804878</c:v>
                </c:pt>
                <c:pt idx="4">
                  <c:v>0.139024390243902</c:v>
                </c:pt>
                <c:pt idx="5">
                  <c:v>0.119512195121951</c:v>
                </c:pt>
                <c:pt idx="6">
                  <c:v>0.109756097560976</c:v>
                </c:pt>
                <c:pt idx="7">
                  <c:v>0.11219512195122</c:v>
                </c:pt>
                <c:pt idx="8">
                  <c:v>0.0682926829268293</c:v>
                </c:pt>
                <c:pt idx="9">
                  <c:v>0.0439024390243902</c:v>
                </c:pt>
                <c:pt idx="10">
                  <c:v>0.0365853658536585</c:v>
                </c:pt>
              </c:numCache>
            </c:numRef>
          </c:val>
        </c:ser>
        <c:dLbls>
          <c:showLegendKey val="0"/>
          <c:showVal val="0"/>
          <c:showCatName val="0"/>
          <c:showSerName val="0"/>
          <c:showPercent val="0"/>
          <c:showBubbleSize val="0"/>
        </c:dLbls>
        <c:gapWidth val="50"/>
        <c:axId val="2093642296"/>
        <c:axId val="2093645352"/>
      </c:barChart>
      <c:catAx>
        <c:axId val="2093642296"/>
        <c:scaling>
          <c:orientation val="maxMin"/>
        </c:scaling>
        <c:delete val="0"/>
        <c:axPos val="l"/>
        <c:majorTickMark val="none"/>
        <c:minorTickMark val="none"/>
        <c:tickLblPos val="nextTo"/>
        <c:txPr>
          <a:bodyPr/>
          <a:lstStyle/>
          <a:p>
            <a:pPr>
              <a:defRPr sz="900">
                <a:latin typeface="+mj-lt"/>
              </a:defRPr>
            </a:pPr>
            <a:endParaRPr lang="en-US"/>
          </a:p>
        </c:txPr>
        <c:crossAx val="2093645352"/>
        <c:crosses val="autoZero"/>
        <c:auto val="1"/>
        <c:lblAlgn val="ctr"/>
        <c:lblOffset val="100"/>
        <c:noMultiLvlLbl val="0"/>
      </c:catAx>
      <c:valAx>
        <c:axId val="2093645352"/>
        <c:scaling>
          <c:orientation val="minMax"/>
        </c:scaling>
        <c:delete val="0"/>
        <c:axPos val="t"/>
        <c:majorGridlines/>
        <c:numFmt formatCode="0%" sourceLinked="1"/>
        <c:majorTickMark val="none"/>
        <c:minorTickMark val="none"/>
        <c:tickLblPos val="nextTo"/>
        <c:txPr>
          <a:bodyPr/>
          <a:lstStyle/>
          <a:p>
            <a:pPr>
              <a:defRPr sz="800">
                <a:latin typeface="+mj-lt"/>
              </a:defRPr>
            </a:pPr>
            <a:endParaRPr lang="en-US"/>
          </a:p>
        </c:txPr>
        <c:crossAx val="2093642296"/>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tx>
            <c:strRef>
              <c:f>Database!$IW$484</c:f>
              <c:strCache>
                <c:ptCount val="1"/>
                <c:pt idx="0">
                  <c:v>IDP camp</c:v>
                </c:pt>
              </c:strCache>
            </c:strRef>
          </c:tx>
          <c:spPr>
            <a:solidFill>
              <a:srgbClr val="FFFF00"/>
            </a:solidFill>
            <a:ln>
              <a:solidFill>
                <a:schemeClr val="tx1"/>
              </a:solidFill>
            </a:ln>
          </c:spPr>
          <c:invertIfNegative val="0"/>
          <c:dLbls>
            <c:dLbl>
              <c:idx val="2"/>
              <c:delete val="1"/>
            </c:dLbl>
            <c:txPr>
              <a:bodyPr/>
              <a:lstStyle/>
              <a:p>
                <a:pPr>
                  <a:defRPr sz="800" b="1"/>
                </a:pPr>
                <a:endParaRPr lang="en-US"/>
              </a:p>
            </c:txPr>
            <c:showLegendKey val="0"/>
            <c:showVal val="1"/>
            <c:showCatName val="0"/>
            <c:showSerName val="0"/>
            <c:showPercent val="0"/>
            <c:showBubbleSize val="0"/>
            <c:showLeaderLines val="0"/>
          </c:dLbls>
          <c:cat>
            <c:strRef>
              <c:f>Database!$IX$483:$JA$483</c:f>
              <c:strCache>
                <c:ptCount val="4"/>
                <c:pt idx="0">
                  <c:v>1 cover</c:v>
                </c:pt>
                <c:pt idx="1">
                  <c:v>2 covers</c:v>
                </c:pt>
                <c:pt idx="2">
                  <c:v>3 covers</c:v>
                </c:pt>
                <c:pt idx="3">
                  <c:v>No Food Covers</c:v>
                </c:pt>
              </c:strCache>
            </c:strRef>
          </c:cat>
          <c:val>
            <c:numRef>
              <c:f>Database!$IX$484:$JA$484</c:f>
              <c:numCache>
                <c:formatCode>0%</c:formatCode>
                <c:ptCount val="4"/>
                <c:pt idx="0">
                  <c:v>0.154545454545455</c:v>
                </c:pt>
                <c:pt idx="1">
                  <c:v>0.0409090909090909</c:v>
                </c:pt>
                <c:pt idx="2">
                  <c:v>0.00454545454545454</c:v>
                </c:pt>
                <c:pt idx="3">
                  <c:v>0.8</c:v>
                </c:pt>
              </c:numCache>
            </c:numRef>
          </c:val>
        </c:ser>
        <c:ser>
          <c:idx val="1"/>
          <c:order val="1"/>
          <c:tx>
            <c:strRef>
              <c:f>Database!$IW$485</c:f>
              <c:strCache>
                <c:ptCount val="1"/>
                <c:pt idx="0">
                  <c:v>Village</c:v>
                </c:pt>
              </c:strCache>
            </c:strRef>
          </c:tx>
          <c:spPr>
            <a:solidFill>
              <a:schemeClr val="tx2"/>
            </a:solidFill>
            <a:ln>
              <a:solidFill>
                <a:schemeClr val="tx1"/>
              </a:solidFill>
            </a:ln>
          </c:spPr>
          <c:invertIfNegative val="0"/>
          <c:dLbls>
            <c:txPr>
              <a:bodyPr/>
              <a:lstStyle/>
              <a:p>
                <a:pPr>
                  <a:defRPr sz="800"/>
                </a:pPr>
                <a:endParaRPr lang="en-US"/>
              </a:p>
            </c:txPr>
            <c:showLegendKey val="0"/>
            <c:showVal val="1"/>
            <c:showCatName val="0"/>
            <c:showSerName val="0"/>
            <c:showPercent val="0"/>
            <c:showBubbleSize val="0"/>
            <c:showLeaderLines val="0"/>
          </c:dLbls>
          <c:cat>
            <c:strRef>
              <c:f>Database!$IX$483:$JA$483</c:f>
              <c:strCache>
                <c:ptCount val="4"/>
                <c:pt idx="0">
                  <c:v>1 cover</c:v>
                </c:pt>
                <c:pt idx="1">
                  <c:v>2 covers</c:v>
                </c:pt>
                <c:pt idx="2">
                  <c:v>3 covers</c:v>
                </c:pt>
                <c:pt idx="3">
                  <c:v>No Food Covers</c:v>
                </c:pt>
              </c:strCache>
            </c:strRef>
          </c:cat>
          <c:val>
            <c:numRef>
              <c:f>Database!$IX$485:$JA$485</c:f>
              <c:numCache>
                <c:formatCode>0%</c:formatCode>
                <c:ptCount val="4"/>
                <c:pt idx="0">
                  <c:v>0.0673076923076923</c:v>
                </c:pt>
                <c:pt idx="1">
                  <c:v>0.0432692307692308</c:v>
                </c:pt>
                <c:pt idx="2">
                  <c:v>0.0288461538461538</c:v>
                </c:pt>
                <c:pt idx="3">
                  <c:v>0.860576923076923</c:v>
                </c:pt>
              </c:numCache>
            </c:numRef>
          </c:val>
        </c:ser>
        <c:dLbls>
          <c:showLegendKey val="0"/>
          <c:showVal val="0"/>
          <c:showCatName val="0"/>
          <c:showSerName val="0"/>
          <c:showPercent val="0"/>
          <c:showBubbleSize val="0"/>
        </c:dLbls>
        <c:gapWidth val="150"/>
        <c:axId val="2056998056"/>
        <c:axId val="2057001032"/>
      </c:barChart>
      <c:catAx>
        <c:axId val="2056998056"/>
        <c:scaling>
          <c:orientation val="minMax"/>
        </c:scaling>
        <c:delete val="1"/>
        <c:axPos val="r"/>
        <c:majorTickMark val="out"/>
        <c:minorTickMark val="none"/>
        <c:tickLblPos val="nextTo"/>
        <c:crossAx val="2057001032"/>
        <c:crosses val="autoZero"/>
        <c:auto val="1"/>
        <c:lblAlgn val="ctr"/>
        <c:lblOffset val="100"/>
        <c:noMultiLvlLbl val="0"/>
      </c:catAx>
      <c:valAx>
        <c:axId val="2057001032"/>
        <c:scaling>
          <c:orientation val="maxMin"/>
        </c:scaling>
        <c:delete val="0"/>
        <c:axPos val="b"/>
        <c:majorGridlines/>
        <c:numFmt formatCode="0%" sourceLinked="1"/>
        <c:majorTickMark val="out"/>
        <c:minorTickMark val="none"/>
        <c:tickLblPos val="nextTo"/>
        <c:txPr>
          <a:bodyPr/>
          <a:lstStyle/>
          <a:p>
            <a:pPr>
              <a:defRPr sz="800"/>
            </a:pPr>
            <a:endParaRPr lang="en-US"/>
          </a:p>
        </c:txPr>
        <c:crossAx val="2056998056"/>
        <c:crosses val="autoZero"/>
        <c:crossBetween val="between"/>
      </c:valAx>
      <c:spPr>
        <a:ln>
          <a:solidFill>
            <a:schemeClr val="tx1"/>
          </a:solidFill>
        </a:ln>
      </c:spPr>
    </c:plotArea>
    <c:legend>
      <c:legendPos val="t"/>
      <c:layout/>
      <c:overlay val="0"/>
    </c:legend>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Food Covers in Household</a:t>
            </a:r>
          </a:p>
        </c:rich>
      </c:tx>
      <c:layout>
        <c:manualLayout>
          <c:xMode val="edge"/>
          <c:yMode val="edge"/>
          <c:x val="0.0403510498687664"/>
          <c:y val="0.037037037037037"/>
        </c:manualLayout>
      </c:layout>
      <c:overlay val="0"/>
    </c:title>
    <c:autoTitleDeleted val="0"/>
    <c:plotArea>
      <c:layout/>
      <c:barChart>
        <c:barDir val="bar"/>
        <c:grouping val="clustered"/>
        <c:varyColors val="0"/>
        <c:ser>
          <c:idx val="2"/>
          <c:order val="0"/>
          <c:tx>
            <c:strRef>
              <c:f>Database!$IW$486</c:f>
              <c:strCache>
                <c:ptCount val="1"/>
                <c:pt idx="0">
                  <c:v>Total</c:v>
                </c:pt>
              </c:strCache>
            </c:strRef>
          </c:tx>
          <c:spPr>
            <a:solidFill>
              <a:srgbClr val="008000"/>
            </a:solidFill>
            <a:ln>
              <a:solidFill>
                <a:schemeClr val="tx1"/>
              </a:solidFill>
            </a:ln>
          </c:spPr>
          <c:invertIfNegative val="0"/>
          <c:dPt>
            <c:idx val="3"/>
            <c:invertIfNegative val="0"/>
            <c:bubble3D val="0"/>
            <c:spPr>
              <a:solidFill>
                <a:srgbClr val="FF0000"/>
              </a:solidFill>
              <a:ln>
                <a:solidFill>
                  <a:schemeClr val="tx1"/>
                </a:solidFill>
              </a:ln>
            </c:spPr>
          </c:dPt>
          <c:dLbls>
            <c:txPr>
              <a:bodyPr/>
              <a:lstStyle/>
              <a:p>
                <a:pPr>
                  <a:defRPr b="1">
                    <a:latin typeface="+mj-lt"/>
                  </a:defRPr>
                </a:pPr>
                <a:endParaRPr lang="en-US"/>
              </a:p>
            </c:txPr>
            <c:showLegendKey val="0"/>
            <c:showVal val="1"/>
            <c:showCatName val="0"/>
            <c:showSerName val="0"/>
            <c:showPercent val="0"/>
            <c:showBubbleSize val="0"/>
            <c:showLeaderLines val="0"/>
          </c:dLbls>
          <c:cat>
            <c:strRef>
              <c:f>Database!$IX$483:$JA$483</c:f>
              <c:strCache>
                <c:ptCount val="4"/>
                <c:pt idx="0">
                  <c:v>1 cover</c:v>
                </c:pt>
                <c:pt idx="1">
                  <c:v>2 covers</c:v>
                </c:pt>
                <c:pt idx="2">
                  <c:v>3 covers</c:v>
                </c:pt>
                <c:pt idx="3">
                  <c:v>No Food Covers</c:v>
                </c:pt>
              </c:strCache>
            </c:strRef>
          </c:cat>
          <c:val>
            <c:numRef>
              <c:f>Database!$IX$486:$JA$486</c:f>
              <c:numCache>
                <c:formatCode>0%</c:formatCode>
                <c:ptCount val="4"/>
                <c:pt idx="0">
                  <c:v>0.11214953271028</c:v>
                </c:pt>
                <c:pt idx="1">
                  <c:v>0.0420560747663551</c:v>
                </c:pt>
                <c:pt idx="2">
                  <c:v>0.0163551401869159</c:v>
                </c:pt>
                <c:pt idx="3">
                  <c:v>0.829439252336449</c:v>
                </c:pt>
              </c:numCache>
            </c:numRef>
          </c:val>
        </c:ser>
        <c:dLbls>
          <c:showLegendKey val="0"/>
          <c:showVal val="0"/>
          <c:showCatName val="0"/>
          <c:showSerName val="0"/>
          <c:showPercent val="0"/>
          <c:showBubbleSize val="0"/>
        </c:dLbls>
        <c:gapWidth val="150"/>
        <c:axId val="2096640856"/>
        <c:axId val="2096645736"/>
      </c:barChart>
      <c:catAx>
        <c:axId val="2096640856"/>
        <c:scaling>
          <c:orientation val="minMax"/>
        </c:scaling>
        <c:delete val="0"/>
        <c:axPos val="l"/>
        <c:majorTickMark val="out"/>
        <c:minorTickMark val="none"/>
        <c:tickLblPos val="nextTo"/>
        <c:crossAx val="2096645736"/>
        <c:crosses val="autoZero"/>
        <c:auto val="1"/>
        <c:lblAlgn val="ctr"/>
        <c:lblOffset val="100"/>
        <c:noMultiLvlLbl val="0"/>
      </c:catAx>
      <c:valAx>
        <c:axId val="2096645736"/>
        <c:scaling>
          <c:orientation val="minMax"/>
        </c:scaling>
        <c:delete val="0"/>
        <c:axPos val="b"/>
        <c:majorGridlines/>
        <c:numFmt formatCode="0%" sourceLinked="1"/>
        <c:majorTickMark val="out"/>
        <c:minorTickMark val="none"/>
        <c:tickLblPos val="nextTo"/>
        <c:crossAx val="2096640856"/>
        <c:crosses val="autoZero"/>
        <c:crossBetween val="between"/>
      </c:valAx>
      <c:spPr>
        <a:ln>
          <a:solidFill>
            <a:schemeClr val="tx1"/>
          </a:solidFill>
        </a:ln>
      </c:spPr>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Defecation Sites</a:t>
            </a:r>
          </a:p>
        </c:rich>
      </c:tx>
      <c:layout>
        <c:manualLayout>
          <c:xMode val="edge"/>
          <c:yMode val="edge"/>
          <c:x val="0.0650172790901137"/>
          <c:y val="0.0601851851851852"/>
        </c:manualLayout>
      </c:layout>
      <c:overlay val="0"/>
    </c:title>
    <c:autoTitleDeleted val="0"/>
    <c:plotArea>
      <c:layout>
        <c:manualLayout>
          <c:layoutTarget val="inner"/>
          <c:xMode val="edge"/>
          <c:yMode val="edge"/>
          <c:x val="0.0932248468941382"/>
          <c:y val="0.20408756197142"/>
          <c:w val="0.870664041994751"/>
          <c:h val="0.678567002041411"/>
        </c:manualLayout>
      </c:layout>
      <c:barChart>
        <c:barDir val="col"/>
        <c:grouping val="clustered"/>
        <c:varyColors val="0"/>
        <c:ser>
          <c:idx val="0"/>
          <c:order val="0"/>
          <c:tx>
            <c:strRef>
              <c:f>Database!$JI$522</c:f>
              <c:strCache>
                <c:ptCount val="1"/>
                <c:pt idx="0">
                  <c:v>Latrine</c:v>
                </c:pt>
              </c:strCache>
            </c:strRef>
          </c:tx>
          <c:spPr>
            <a:solidFill>
              <a:schemeClr val="tx2">
                <a:lumMod val="60000"/>
                <a:lumOff val="40000"/>
              </a:schemeClr>
            </a:solidFill>
            <a:ln>
              <a:solidFill>
                <a:schemeClr val="tx1"/>
              </a:solidFill>
            </a:ln>
          </c:spPr>
          <c:invertIfNegative val="0"/>
          <c:dLbls>
            <c:txPr>
              <a:bodyPr/>
              <a:lstStyle/>
              <a:p>
                <a:pPr>
                  <a:defRPr sz="800"/>
                </a:pPr>
                <a:endParaRPr lang="en-US"/>
              </a:p>
            </c:txPr>
            <c:showLegendKey val="0"/>
            <c:showVal val="1"/>
            <c:showCatName val="0"/>
            <c:showSerName val="0"/>
            <c:showPercent val="0"/>
            <c:showBubbleSize val="0"/>
            <c:showLeaderLines val="0"/>
          </c:dLbls>
          <c:cat>
            <c:strRef>
              <c:f>Database!$JJ$521:$JN$521</c:f>
              <c:strCache>
                <c:ptCount val="5"/>
                <c:pt idx="0">
                  <c:v>Elderly</c:v>
                </c:pt>
                <c:pt idx="1">
                  <c:v>Adult Men</c:v>
                </c:pt>
                <c:pt idx="2">
                  <c:v>Boys</c:v>
                </c:pt>
                <c:pt idx="3">
                  <c:v>Adult Women</c:v>
                </c:pt>
                <c:pt idx="4">
                  <c:v>Girls</c:v>
                </c:pt>
              </c:strCache>
            </c:strRef>
          </c:cat>
          <c:val>
            <c:numRef>
              <c:f>Database!$JJ$522:$JN$522</c:f>
              <c:numCache>
                <c:formatCode>0%</c:formatCode>
                <c:ptCount val="5"/>
                <c:pt idx="0">
                  <c:v>0.366822429906542</c:v>
                </c:pt>
                <c:pt idx="1">
                  <c:v>0.69626168224299</c:v>
                </c:pt>
                <c:pt idx="2">
                  <c:v>0.324766355140187</c:v>
                </c:pt>
                <c:pt idx="3">
                  <c:v>0.742990654205607</c:v>
                </c:pt>
                <c:pt idx="4">
                  <c:v>0.429906542056075</c:v>
                </c:pt>
              </c:numCache>
            </c:numRef>
          </c:val>
        </c:ser>
        <c:ser>
          <c:idx val="1"/>
          <c:order val="1"/>
          <c:tx>
            <c:strRef>
              <c:f>Database!$JI$523</c:f>
              <c:strCache>
                <c:ptCount val="1"/>
                <c:pt idx="0">
                  <c:v>Open Defecation</c:v>
                </c:pt>
              </c:strCache>
            </c:strRef>
          </c:tx>
          <c:spPr>
            <a:solidFill>
              <a:srgbClr val="FF0000"/>
            </a:solidFill>
            <a:ln>
              <a:solidFill>
                <a:schemeClr val="tx1"/>
              </a:solidFill>
            </a:ln>
          </c:spPr>
          <c:invertIfNegative val="0"/>
          <c:dLbls>
            <c:txPr>
              <a:bodyPr/>
              <a:lstStyle/>
              <a:p>
                <a:pPr>
                  <a:defRPr sz="800"/>
                </a:pPr>
                <a:endParaRPr lang="en-US"/>
              </a:p>
            </c:txPr>
            <c:showLegendKey val="0"/>
            <c:showVal val="1"/>
            <c:showCatName val="0"/>
            <c:showSerName val="0"/>
            <c:showPercent val="0"/>
            <c:showBubbleSize val="0"/>
            <c:showLeaderLines val="0"/>
          </c:dLbls>
          <c:cat>
            <c:strRef>
              <c:f>Database!$JJ$521:$JN$521</c:f>
              <c:strCache>
                <c:ptCount val="5"/>
                <c:pt idx="0">
                  <c:v>Elderly</c:v>
                </c:pt>
                <c:pt idx="1">
                  <c:v>Adult Men</c:v>
                </c:pt>
                <c:pt idx="2">
                  <c:v>Boys</c:v>
                </c:pt>
                <c:pt idx="3">
                  <c:v>Adult Women</c:v>
                </c:pt>
                <c:pt idx="4">
                  <c:v>Girls</c:v>
                </c:pt>
              </c:strCache>
            </c:strRef>
          </c:cat>
          <c:val>
            <c:numRef>
              <c:f>Database!$JJ$523:$JN$523</c:f>
              <c:numCache>
                <c:formatCode>0%</c:formatCode>
                <c:ptCount val="5"/>
                <c:pt idx="0">
                  <c:v>0.0981308411214953</c:v>
                </c:pt>
                <c:pt idx="1">
                  <c:v>0.179906542056075</c:v>
                </c:pt>
                <c:pt idx="2">
                  <c:v>0.462616822429906</c:v>
                </c:pt>
                <c:pt idx="3">
                  <c:v>0.121495327102804</c:v>
                </c:pt>
                <c:pt idx="4">
                  <c:v>0.331775700934579</c:v>
                </c:pt>
              </c:numCache>
            </c:numRef>
          </c:val>
        </c:ser>
        <c:ser>
          <c:idx val="2"/>
          <c:order val="2"/>
          <c:tx>
            <c:strRef>
              <c:f>Database!$JI$524</c:f>
              <c:strCache>
                <c:ptCount val="1"/>
                <c:pt idx="0">
                  <c:v>Within home</c:v>
                </c:pt>
              </c:strCache>
            </c:strRef>
          </c:tx>
          <c:spPr>
            <a:solidFill>
              <a:schemeClr val="accent6">
                <a:lumMod val="60000"/>
                <a:lumOff val="40000"/>
              </a:schemeClr>
            </a:solidFill>
            <a:ln>
              <a:solidFill>
                <a:schemeClr val="tx1"/>
              </a:solidFill>
            </a:ln>
          </c:spPr>
          <c:invertIfNegative val="0"/>
          <c:dLbls>
            <c:txPr>
              <a:bodyPr/>
              <a:lstStyle/>
              <a:p>
                <a:pPr>
                  <a:defRPr sz="800"/>
                </a:pPr>
                <a:endParaRPr lang="en-US"/>
              </a:p>
            </c:txPr>
            <c:showLegendKey val="0"/>
            <c:showVal val="1"/>
            <c:showCatName val="0"/>
            <c:showSerName val="0"/>
            <c:showPercent val="0"/>
            <c:showBubbleSize val="0"/>
            <c:showLeaderLines val="0"/>
          </c:dLbls>
          <c:cat>
            <c:strRef>
              <c:f>Database!$JJ$521:$JN$521</c:f>
              <c:strCache>
                <c:ptCount val="5"/>
                <c:pt idx="0">
                  <c:v>Elderly</c:v>
                </c:pt>
                <c:pt idx="1">
                  <c:v>Adult Men</c:v>
                </c:pt>
                <c:pt idx="2">
                  <c:v>Boys</c:v>
                </c:pt>
                <c:pt idx="3">
                  <c:v>Adult Women</c:v>
                </c:pt>
                <c:pt idx="4">
                  <c:v>Girls</c:v>
                </c:pt>
              </c:strCache>
            </c:strRef>
          </c:cat>
          <c:val>
            <c:numRef>
              <c:f>Database!$JJ$524:$JN$524</c:f>
              <c:numCache>
                <c:formatCode>0%</c:formatCode>
                <c:ptCount val="5"/>
                <c:pt idx="0">
                  <c:v>0.142523364485981</c:v>
                </c:pt>
                <c:pt idx="1">
                  <c:v>0.014018691588785</c:v>
                </c:pt>
                <c:pt idx="2">
                  <c:v>0.0210280373831776</c:v>
                </c:pt>
                <c:pt idx="3">
                  <c:v>0.014018691588785</c:v>
                </c:pt>
                <c:pt idx="4">
                  <c:v>0.0163551401869159</c:v>
                </c:pt>
              </c:numCache>
            </c:numRef>
          </c:val>
        </c:ser>
        <c:dLbls>
          <c:showLegendKey val="0"/>
          <c:showVal val="0"/>
          <c:showCatName val="0"/>
          <c:showSerName val="0"/>
          <c:showPercent val="0"/>
          <c:showBubbleSize val="0"/>
        </c:dLbls>
        <c:gapWidth val="50"/>
        <c:axId val="2091578744"/>
        <c:axId val="2091581864"/>
      </c:barChart>
      <c:catAx>
        <c:axId val="2091578744"/>
        <c:scaling>
          <c:orientation val="minMax"/>
        </c:scaling>
        <c:delete val="0"/>
        <c:axPos val="b"/>
        <c:majorTickMark val="none"/>
        <c:minorTickMark val="none"/>
        <c:tickLblPos val="nextTo"/>
        <c:txPr>
          <a:bodyPr/>
          <a:lstStyle/>
          <a:p>
            <a:pPr>
              <a:defRPr sz="900">
                <a:latin typeface="+mj-lt"/>
              </a:defRPr>
            </a:pPr>
            <a:endParaRPr lang="en-US"/>
          </a:p>
        </c:txPr>
        <c:crossAx val="2091581864"/>
        <c:crosses val="autoZero"/>
        <c:auto val="1"/>
        <c:lblAlgn val="ctr"/>
        <c:lblOffset val="100"/>
        <c:noMultiLvlLbl val="0"/>
      </c:catAx>
      <c:valAx>
        <c:axId val="2091581864"/>
        <c:scaling>
          <c:orientation val="minMax"/>
        </c:scaling>
        <c:delete val="0"/>
        <c:axPos val="l"/>
        <c:majorGridlines/>
        <c:numFmt formatCode="0%" sourceLinked="1"/>
        <c:majorTickMark val="none"/>
        <c:minorTickMark val="none"/>
        <c:tickLblPos val="nextTo"/>
        <c:txPr>
          <a:bodyPr/>
          <a:lstStyle/>
          <a:p>
            <a:pPr>
              <a:defRPr sz="800"/>
            </a:pPr>
            <a:endParaRPr lang="en-US"/>
          </a:p>
        </c:txPr>
        <c:crossAx val="2091578744"/>
        <c:crosses val="autoZero"/>
        <c:crossBetween val="between"/>
      </c:valAx>
      <c:spPr>
        <a:ln>
          <a:solidFill>
            <a:schemeClr val="tx1"/>
          </a:solidFill>
        </a:ln>
      </c:spPr>
    </c:plotArea>
    <c:legend>
      <c:legendPos val="t"/>
      <c:layout>
        <c:manualLayout>
          <c:xMode val="edge"/>
          <c:yMode val="edge"/>
          <c:x val="0.32548687664042"/>
          <c:y val="0.0509259259259259"/>
          <c:w val="0.610137357830271"/>
          <c:h val="0.0929764508603091"/>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Villages</a:t>
            </a:r>
          </a:p>
        </c:rich>
      </c:tx>
      <c:layout>
        <c:manualLayout>
          <c:xMode val="edge"/>
          <c:yMode val="edge"/>
          <c:x val="0.253771403574553"/>
          <c:y val="0.04"/>
        </c:manualLayout>
      </c:layout>
      <c:overlay val="0"/>
    </c:title>
    <c:autoTitleDeleted val="0"/>
    <c:plotArea>
      <c:layout/>
      <c:barChart>
        <c:barDir val="bar"/>
        <c:grouping val="clustered"/>
        <c:varyColors val="0"/>
        <c:ser>
          <c:idx val="0"/>
          <c:order val="0"/>
          <c:tx>
            <c:strRef>
              <c:f>Database!$JI$514</c:f>
              <c:strCache>
                <c:ptCount val="1"/>
                <c:pt idx="0">
                  <c:v>Latrine</c:v>
                </c:pt>
              </c:strCache>
            </c:strRef>
          </c:tx>
          <c:spPr>
            <a:solidFill>
              <a:schemeClr val="tx2">
                <a:lumMod val="60000"/>
                <a:lumOff val="40000"/>
              </a:schemeClr>
            </a:solidFill>
            <a:ln>
              <a:solidFill>
                <a:schemeClr val="tx1"/>
              </a:solidFill>
            </a:ln>
          </c:spPr>
          <c:invertIfNegative val="0"/>
          <c:dLbls>
            <c:txPr>
              <a:bodyPr/>
              <a:lstStyle/>
              <a:p>
                <a:pPr>
                  <a:defRPr sz="800" b="1"/>
                </a:pPr>
                <a:endParaRPr lang="en-US"/>
              </a:p>
            </c:txPr>
            <c:showLegendKey val="0"/>
            <c:showVal val="1"/>
            <c:showCatName val="0"/>
            <c:showSerName val="0"/>
            <c:showPercent val="0"/>
            <c:showBubbleSize val="0"/>
            <c:showLeaderLines val="0"/>
          </c:dLbls>
          <c:cat>
            <c:strRef>
              <c:f>Database!$JJ$513:$JN$513</c:f>
              <c:strCache>
                <c:ptCount val="5"/>
                <c:pt idx="0">
                  <c:v>Elderly</c:v>
                </c:pt>
                <c:pt idx="1">
                  <c:v>Adult Men</c:v>
                </c:pt>
                <c:pt idx="2">
                  <c:v>Boys</c:v>
                </c:pt>
                <c:pt idx="3">
                  <c:v>Adult Women</c:v>
                </c:pt>
                <c:pt idx="4">
                  <c:v>Girls</c:v>
                </c:pt>
              </c:strCache>
            </c:strRef>
          </c:cat>
          <c:val>
            <c:numRef>
              <c:f>Database!$JJ$514:$JN$514</c:f>
              <c:numCache>
                <c:formatCode>0%</c:formatCode>
                <c:ptCount val="5"/>
                <c:pt idx="0">
                  <c:v>0.322115384615385</c:v>
                </c:pt>
                <c:pt idx="1">
                  <c:v>0.538461538461539</c:v>
                </c:pt>
                <c:pt idx="2">
                  <c:v>0.278846153846154</c:v>
                </c:pt>
                <c:pt idx="3">
                  <c:v>0.610576923076923</c:v>
                </c:pt>
                <c:pt idx="4">
                  <c:v>0.360576923076923</c:v>
                </c:pt>
              </c:numCache>
            </c:numRef>
          </c:val>
        </c:ser>
        <c:ser>
          <c:idx val="1"/>
          <c:order val="1"/>
          <c:tx>
            <c:strRef>
              <c:f>Database!$JI$515</c:f>
              <c:strCache>
                <c:ptCount val="1"/>
                <c:pt idx="0">
                  <c:v>Open Defecation</c:v>
                </c:pt>
              </c:strCache>
            </c:strRef>
          </c:tx>
          <c:spPr>
            <a:solidFill>
              <a:srgbClr val="FF0000"/>
            </a:solidFill>
            <a:ln>
              <a:solidFill>
                <a:schemeClr val="tx1"/>
              </a:solidFill>
            </a:ln>
          </c:spPr>
          <c:invertIfNegative val="0"/>
          <c:dLbls>
            <c:txPr>
              <a:bodyPr/>
              <a:lstStyle/>
              <a:p>
                <a:pPr>
                  <a:defRPr sz="800"/>
                </a:pPr>
                <a:endParaRPr lang="en-US"/>
              </a:p>
            </c:txPr>
            <c:showLegendKey val="0"/>
            <c:showVal val="1"/>
            <c:showCatName val="0"/>
            <c:showSerName val="0"/>
            <c:showPercent val="0"/>
            <c:showBubbleSize val="0"/>
            <c:showLeaderLines val="0"/>
          </c:dLbls>
          <c:cat>
            <c:strRef>
              <c:f>Database!$JJ$513:$JN$513</c:f>
              <c:strCache>
                <c:ptCount val="5"/>
                <c:pt idx="0">
                  <c:v>Elderly</c:v>
                </c:pt>
                <c:pt idx="1">
                  <c:v>Adult Men</c:v>
                </c:pt>
                <c:pt idx="2">
                  <c:v>Boys</c:v>
                </c:pt>
                <c:pt idx="3">
                  <c:v>Adult Women</c:v>
                </c:pt>
                <c:pt idx="4">
                  <c:v>Girls</c:v>
                </c:pt>
              </c:strCache>
            </c:strRef>
          </c:cat>
          <c:val>
            <c:numRef>
              <c:f>Database!$JJ$515:$JN$515</c:f>
              <c:numCache>
                <c:formatCode>0%</c:formatCode>
                <c:ptCount val="5"/>
                <c:pt idx="0">
                  <c:v>0.182692307692308</c:v>
                </c:pt>
                <c:pt idx="1">
                  <c:v>0.322115384615385</c:v>
                </c:pt>
                <c:pt idx="2">
                  <c:v>0.519230769230769</c:v>
                </c:pt>
                <c:pt idx="3">
                  <c:v>0.235576923076923</c:v>
                </c:pt>
                <c:pt idx="4">
                  <c:v>0.384615384615385</c:v>
                </c:pt>
              </c:numCache>
            </c:numRef>
          </c:val>
        </c:ser>
        <c:ser>
          <c:idx val="2"/>
          <c:order val="2"/>
          <c:tx>
            <c:strRef>
              <c:f>Database!$JI$516</c:f>
              <c:strCache>
                <c:ptCount val="1"/>
                <c:pt idx="0">
                  <c:v>Within home</c:v>
                </c:pt>
              </c:strCache>
            </c:strRef>
          </c:tx>
          <c:spPr>
            <a:solidFill>
              <a:schemeClr val="accent6">
                <a:lumMod val="60000"/>
                <a:lumOff val="40000"/>
              </a:schemeClr>
            </a:solidFill>
            <a:ln>
              <a:solidFill>
                <a:schemeClr val="tx1"/>
              </a:solidFill>
            </a:ln>
          </c:spPr>
          <c:invertIfNegative val="0"/>
          <c:dLbls>
            <c:dLbl>
              <c:idx val="0"/>
              <c:layout/>
              <c:showLegendKey val="0"/>
              <c:showVal val="1"/>
              <c:showCatName val="0"/>
              <c:showSerName val="0"/>
              <c:showPercent val="0"/>
              <c:showBubbleSize val="0"/>
            </c:dLbl>
            <c:txPr>
              <a:bodyPr/>
              <a:lstStyle/>
              <a:p>
                <a:pPr>
                  <a:defRPr sz="800"/>
                </a:pPr>
                <a:endParaRPr lang="en-US"/>
              </a:p>
            </c:txPr>
            <c:showLegendKey val="0"/>
            <c:showVal val="0"/>
            <c:showCatName val="0"/>
            <c:showSerName val="0"/>
            <c:showPercent val="0"/>
            <c:showBubbleSize val="0"/>
          </c:dLbls>
          <c:cat>
            <c:strRef>
              <c:f>Database!$JJ$513:$JN$513</c:f>
              <c:strCache>
                <c:ptCount val="5"/>
                <c:pt idx="0">
                  <c:v>Elderly</c:v>
                </c:pt>
                <c:pt idx="1">
                  <c:v>Adult Men</c:v>
                </c:pt>
                <c:pt idx="2">
                  <c:v>Boys</c:v>
                </c:pt>
                <c:pt idx="3">
                  <c:v>Adult Women</c:v>
                </c:pt>
                <c:pt idx="4">
                  <c:v>Girls</c:v>
                </c:pt>
              </c:strCache>
            </c:strRef>
          </c:cat>
          <c:val>
            <c:numRef>
              <c:f>Database!$JJ$516:$JN$516</c:f>
              <c:numCache>
                <c:formatCode>0%</c:formatCode>
                <c:ptCount val="5"/>
                <c:pt idx="0">
                  <c:v>0.129807692307692</c:v>
                </c:pt>
                <c:pt idx="1">
                  <c:v>0.0144230769230769</c:v>
                </c:pt>
                <c:pt idx="2">
                  <c:v>0.00961538461538461</c:v>
                </c:pt>
                <c:pt idx="3">
                  <c:v>0.0144230769230769</c:v>
                </c:pt>
                <c:pt idx="4">
                  <c:v>0.0240384615384615</c:v>
                </c:pt>
              </c:numCache>
            </c:numRef>
          </c:val>
        </c:ser>
        <c:dLbls>
          <c:showLegendKey val="0"/>
          <c:showVal val="0"/>
          <c:showCatName val="0"/>
          <c:showSerName val="0"/>
          <c:showPercent val="0"/>
          <c:showBubbleSize val="0"/>
        </c:dLbls>
        <c:gapWidth val="50"/>
        <c:axId val="2091538200"/>
        <c:axId val="2091508312"/>
      </c:barChart>
      <c:catAx>
        <c:axId val="2091538200"/>
        <c:scaling>
          <c:orientation val="maxMin"/>
        </c:scaling>
        <c:delete val="0"/>
        <c:axPos val="l"/>
        <c:majorTickMark val="none"/>
        <c:minorTickMark val="none"/>
        <c:tickLblPos val="nextTo"/>
        <c:txPr>
          <a:bodyPr/>
          <a:lstStyle/>
          <a:p>
            <a:pPr>
              <a:defRPr sz="900">
                <a:latin typeface="+mj-lt"/>
              </a:defRPr>
            </a:pPr>
            <a:endParaRPr lang="en-US"/>
          </a:p>
        </c:txPr>
        <c:crossAx val="2091508312"/>
        <c:crosses val="autoZero"/>
        <c:auto val="1"/>
        <c:lblAlgn val="ctr"/>
        <c:lblOffset val="100"/>
        <c:noMultiLvlLbl val="0"/>
      </c:catAx>
      <c:valAx>
        <c:axId val="2091508312"/>
        <c:scaling>
          <c:orientation val="minMax"/>
        </c:scaling>
        <c:delete val="0"/>
        <c:axPos val="t"/>
        <c:majorGridlines/>
        <c:numFmt formatCode="0%" sourceLinked="1"/>
        <c:majorTickMark val="none"/>
        <c:minorTickMark val="none"/>
        <c:tickLblPos val="nextTo"/>
        <c:txPr>
          <a:bodyPr/>
          <a:lstStyle/>
          <a:p>
            <a:pPr>
              <a:defRPr sz="800"/>
            </a:pPr>
            <a:endParaRPr lang="en-US"/>
          </a:p>
        </c:txPr>
        <c:crossAx val="2091538200"/>
        <c:crosses val="autoZero"/>
        <c:crossBetween val="between"/>
      </c:valAx>
      <c:spPr>
        <a:ln>
          <a:solidFill>
            <a:schemeClr val="tx1"/>
          </a:solidFill>
        </a:ln>
      </c:spPr>
    </c:plotArea>
    <c:legend>
      <c:legendPos val="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Defecation Sites </a:t>
            </a:r>
            <a:r>
              <a:rPr lang="en-US" sz="1000" baseline="0">
                <a:latin typeface="+mj-lt"/>
              </a:rPr>
              <a:t>                           </a:t>
            </a:r>
            <a:r>
              <a:rPr lang="en-US" sz="1000">
                <a:latin typeface="+mj-lt"/>
              </a:rPr>
              <a:t>IDP Camps</a:t>
            </a:r>
          </a:p>
        </c:rich>
      </c:tx>
      <c:layout>
        <c:manualLayout>
          <c:xMode val="edge"/>
          <c:yMode val="edge"/>
          <c:x val="0.116140708797882"/>
          <c:y val="0.0226860254083485"/>
        </c:manualLayout>
      </c:layout>
      <c:overlay val="0"/>
    </c:title>
    <c:autoTitleDeleted val="0"/>
    <c:plotArea>
      <c:layout>
        <c:manualLayout>
          <c:layoutTarget val="inner"/>
          <c:xMode val="edge"/>
          <c:yMode val="edge"/>
          <c:x val="0.0764622197355313"/>
          <c:y val="0.306608242708318"/>
          <c:w val="0.865857885615251"/>
          <c:h val="0.633206267773697"/>
        </c:manualLayout>
      </c:layout>
      <c:barChart>
        <c:barDir val="bar"/>
        <c:grouping val="clustered"/>
        <c:varyColors val="0"/>
        <c:ser>
          <c:idx val="0"/>
          <c:order val="0"/>
          <c:tx>
            <c:strRef>
              <c:f>Database!$JI$506</c:f>
              <c:strCache>
                <c:ptCount val="1"/>
                <c:pt idx="0">
                  <c:v>Latrine</c:v>
                </c:pt>
              </c:strCache>
            </c:strRef>
          </c:tx>
          <c:spPr>
            <a:solidFill>
              <a:schemeClr val="tx2">
                <a:lumMod val="60000"/>
                <a:lumOff val="40000"/>
              </a:schemeClr>
            </a:solidFill>
            <a:ln>
              <a:solidFill>
                <a:schemeClr val="tx1"/>
              </a:solidFill>
            </a:ln>
          </c:spPr>
          <c:invertIfNegative val="0"/>
          <c:dLbls>
            <c:txPr>
              <a:bodyPr/>
              <a:lstStyle/>
              <a:p>
                <a:pPr>
                  <a:defRPr sz="800" b="1"/>
                </a:pPr>
                <a:endParaRPr lang="en-US"/>
              </a:p>
            </c:txPr>
            <c:showLegendKey val="0"/>
            <c:showVal val="1"/>
            <c:showCatName val="0"/>
            <c:showSerName val="0"/>
            <c:showPercent val="0"/>
            <c:showBubbleSize val="0"/>
            <c:showLeaderLines val="0"/>
          </c:dLbls>
          <c:cat>
            <c:strRef>
              <c:f>Database!$JJ$505:$JN$505</c:f>
              <c:strCache>
                <c:ptCount val="5"/>
                <c:pt idx="0">
                  <c:v>Elderly</c:v>
                </c:pt>
                <c:pt idx="1">
                  <c:v>Adult Men</c:v>
                </c:pt>
                <c:pt idx="2">
                  <c:v>Boys</c:v>
                </c:pt>
                <c:pt idx="3">
                  <c:v>Adult Women</c:v>
                </c:pt>
                <c:pt idx="4">
                  <c:v>Girls</c:v>
                </c:pt>
              </c:strCache>
            </c:strRef>
          </c:cat>
          <c:val>
            <c:numRef>
              <c:f>Database!$JJ$506:$JN$506</c:f>
              <c:numCache>
                <c:formatCode>0%</c:formatCode>
                <c:ptCount val="5"/>
                <c:pt idx="0">
                  <c:v>0.409090909090909</c:v>
                </c:pt>
                <c:pt idx="1">
                  <c:v>0.845454545454545</c:v>
                </c:pt>
                <c:pt idx="2">
                  <c:v>0.368181818181818</c:v>
                </c:pt>
                <c:pt idx="3">
                  <c:v>0.868181818181818</c:v>
                </c:pt>
                <c:pt idx="4">
                  <c:v>0.495454545454545</c:v>
                </c:pt>
              </c:numCache>
            </c:numRef>
          </c:val>
        </c:ser>
        <c:ser>
          <c:idx val="1"/>
          <c:order val="1"/>
          <c:tx>
            <c:strRef>
              <c:f>Database!$JI$507</c:f>
              <c:strCache>
                <c:ptCount val="1"/>
                <c:pt idx="0">
                  <c:v>Open Defecation</c:v>
                </c:pt>
              </c:strCache>
            </c:strRef>
          </c:tx>
          <c:spPr>
            <a:solidFill>
              <a:srgbClr val="FF0000"/>
            </a:solidFill>
            <a:ln>
              <a:solidFill>
                <a:schemeClr val="tx1"/>
              </a:solidFill>
            </a:ln>
          </c:spPr>
          <c:invertIfNegative val="0"/>
          <c:dLbls>
            <c:dLbl>
              <c:idx val="2"/>
              <c:layout/>
              <c:showLegendKey val="0"/>
              <c:showVal val="1"/>
              <c:showCatName val="0"/>
              <c:showSerName val="0"/>
              <c:showPercent val="0"/>
              <c:showBubbleSize val="0"/>
            </c:dLbl>
            <c:dLbl>
              <c:idx val="4"/>
              <c:layout/>
              <c:showLegendKey val="0"/>
              <c:showVal val="1"/>
              <c:showCatName val="0"/>
              <c:showSerName val="0"/>
              <c:showPercent val="0"/>
              <c:showBubbleSize val="0"/>
            </c:dLbl>
            <c:txPr>
              <a:bodyPr/>
              <a:lstStyle/>
              <a:p>
                <a:pPr>
                  <a:defRPr sz="800"/>
                </a:pPr>
                <a:endParaRPr lang="en-US"/>
              </a:p>
            </c:txPr>
            <c:showLegendKey val="0"/>
            <c:showVal val="0"/>
            <c:showCatName val="0"/>
            <c:showSerName val="0"/>
            <c:showPercent val="0"/>
            <c:showBubbleSize val="0"/>
          </c:dLbls>
          <c:cat>
            <c:strRef>
              <c:f>Database!$JJ$505:$JN$505</c:f>
              <c:strCache>
                <c:ptCount val="5"/>
                <c:pt idx="0">
                  <c:v>Elderly</c:v>
                </c:pt>
                <c:pt idx="1">
                  <c:v>Adult Men</c:v>
                </c:pt>
                <c:pt idx="2">
                  <c:v>Boys</c:v>
                </c:pt>
                <c:pt idx="3">
                  <c:v>Adult Women</c:v>
                </c:pt>
                <c:pt idx="4">
                  <c:v>Girls</c:v>
                </c:pt>
              </c:strCache>
            </c:strRef>
          </c:cat>
          <c:val>
            <c:numRef>
              <c:f>Database!$JJ$507:$JN$507</c:f>
              <c:numCache>
                <c:formatCode>0%</c:formatCode>
                <c:ptCount val="5"/>
                <c:pt idx="0">
                  <c:v>0.0181818181818182</c:v>
                </c:pt>
                <c:pt idx="1">
                  <c:v>0.0454545454545454</c:v>
                </c:pt>
                <c:pt idx="2">
                  <c:v>0.409090909090909</c:v>
                </c:pt>
                <c:pt idx="3">
                  <c:v>0.0136363636363636</c:v>
                </c:pt>
                <c:pt idx="4">
                  <c:v>0.281818181818182</c:v>
                </c:pt>
              </c:numCache>
            </c:numRef>
          </c:val>
        </c:ser>
        <c:ser>
          <c:idx val="2"/>
          <c:order val="2"/>
          <c:tx>
            <c:strRef>
              <c:f>Database!$JI$508</c:f>
              <c:strCache>
                <c:ptCount val="1"/>
                <c:pt idx="0">
                  <c:v>Within home</c:v>
                </c:pt>
              </c:strCache>
            </c:strRef>
          </c:tx>
          <c:spPr>
            <a:solidFill>
              <a:schemeClr val="accent6">
                <a:lumMod val="60000"/>
                <a:lumOff val="40000"/>
              </a:schemeClr>
            </a:solidFill>
            <a:ln>
              <a:solidFill>
                <a:schemeClr val="tx1"/>
              </a:solidFill>
            </a:ln>
          </c:spPr>
          <c:invertIfNegative val="0"/>
          <c:dLbls>
            <c:dLbl>
              <c:idx val="0"/>
              <c:layout/>
              <c:showLegendKey val="0"/>
              <c:showVal val="1"/>
              <c:showCatName val="0"/>
              <c:showSerName val="0"/>
              <c:showPercent val="0"/>
              <c:showBubbleSize val="0"/>
            </c:dLbl>
            <c:txPr>
              <a:bodyPr/>
              <a:lstStyle/>
              <a:p>
                <a:pPr>
                  <a:defRPr sz="800"/>
                </a:pPr>
                <a:endParaRPr lang="en-US"/>
              </a:p>
            </c:txPr>
            <c:showLegendKey val="0"/>
            <c:showVal val="0"/>
            <c:showCatName val="0"/>
            <c:showSerName val="0"/>
            <c:showPercent val="0"/>
            <c:showBubbleSize val="0"/>
          </c:dLbls>
          <c:cat>
            <c:strRef>
              <c:f>Database!$JJ$505:$JN$505</c:f>
              <c:strCache>
                <c:ptCount val="5"/>
                <c:pt idx="0">
                  <c:v>Elderly</c:v>
                </c:pt>
                <c:pt idx="1">
                  <c:v>Adult Men</c:v>
                </c:pt>
                <c:pt idx="2">
                  <c:v>Boys</c:v>
                </c:pt>
                <c:pt idx="3">
                  <c:v>Adult Women</c:v>
                </c:pt>
                <c:pt idx="4">
                  <c:v>Girls</c:v>
                </c:pt>
              </c:strCache>
            </c:strRef>
          </c:cat>
          <c:val>
            <c:numRef>
              <c:f>Database!$JJ$508:$JN$508</c:f>
              <c:numCache>
                <c:formatCode>0%</c:formatCode>
                <c:ptCount val="5"/>
                <c:pt idx="0">
                  <c:v>0.154545454545455</c:v>
                </c:pt>
                <c:pt idx="1">
                  <c:v>0.0136363636363636</c:v>
                </c:pt>
                <c:pt idx="2">
                  <c:v>0.0318181818181818</c:v>
                </c:pt>
                <c:pt idx="3">
                  <c:v>0.0136363636363636</c:v>
                </c:pt>
                <c:pt idx="4">
                  <c:v>0.00909090909090909</c:v>
                </c:pt>
              </c:numCache>
            </c:numRef>
          </c:val>
        </c:ser>
        <c:dLbls>
          <c:showLegendKey val="0"/>
          <c:showVal val="0"/>
          <c:showCatName val="0"/>
          <c:showSerName val="0"/>
          <c:showPercent val="0"/>
          <c:showBubbleSize val="0"/>
        </c:dLbls>
        <c:gapWidth val="50"/>
        <c:axId val="2091460936"/>
        <c:axId val="2091463992"/>
      </c:barChart>
      <c:catAx>
        <c:axId val="2091460936"/>
        <c:scaling>
          <c:orientation val="maxMin"/>
        </c:scaling>
        <c:delete val="1"/>
        <c:axPos val="r"/>
        <c:majorTickMark val="none"/>
        <c:minorTickMark val="none"/>
        <c:tickLblPos val="nextTo"/>
        <c:crossAx val="2091463992"/>
        <c:crosses val="autoZero"/>
        <c:auto val="1"/>
        <c:lblAlgn val="ctr"/>
        <c:lblOffset val="100"/>
        <c:noMultiLvlLbl val="0"/>
      </c:catAx>
      <c:valAx>
        <c:axId val="2091463992"/>
        <c:scaling>
          <c:orientation val="maxMin"/>
        </c:scaling>
        <c:delete val="0"/>
        <c:axPos val="t"/>
        <c:majorGridlines/>
        <c:numFmt formatCode="0%" sourceLinked="1"/>
        <c:majorTickMark val="none"/>
        <c:minorTickMark val="none"/>
        <c:tickLblPos val="nextTo"/>
        <c:txPr>
          <a:bodyPr/>
          <a:lstStyle/>
          <a:p>
            <a:pPr>
              <a:defRPr sz="800"/>
            </a:pPr>
            <a:endParaRPr lang="en-US"/>
          </a:p>
        </c:txPr>
        <c:crossAx val="2091460936"/>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Reasons for Practicing Open Defecation</a:t>
            </a:r>
          </a:p>
        </c:rich>
      </c:tx>
      <c:layout>
        <c:manualLayout>
          <c:xMode val="edge"/>
          <c:yMode val="edge"/>
          <c:x val="0.0307738407699038"/>
          <c:y val="0.037037037037037"/>
        </c:manualLayout>
      </c:layout>
      <c:overlay val="0"/>
    </c:title>
    <c:autoTitleDeleted val="0"/>
    <c:plotArea>
      <c:layout>
        <c:manualLayout>
          <c:layoutTarget val="inner"/>
          <c:xMode val="edge"/>
          <c:yMode val="edge"/>
          <c:x val="0.439292213473316"/>
          <c:y val="0.194293103575677"/>
          <c:w val="0.506360673665792"/>
          <c:h val="0.756908025507829"/>
        </c:manualLayout>
      </c:layout>
      <c:barChart>
        <c:barDir val="bar"/>
        <c:grouping val="clustered"/>
        <c:varyColors val="0"/>
        <c:ser>
          <c:idx val="0"/>
          <c:order val="0"/>
          <c:tx>
            <c:strRef>
              <c:f>'db2 pt'!$JF$484</c:f>
              <c:strCache>
                <c:ptCount val="1"/>
                <c:pt idx="0">
                  <c:v>IDP Camp</c:v>
                </c:pt>
              </c:strCache>
            </c:strRef>
          </c:tx>
          <c:spPr>
            <a:solidFill>
              <a:srgbClr val="FFFF00"/>
            </a:solidFill>
            <a:ln>
              <a:solidFill>
                <a:schemeClr val="tx1"/>
              </a:solidFill>
            </a:ln>
          </c:spPr>
          <c:invertIfNegative val="0"/>
          <c:dLbls>
            <c:dLbl>
              <c:idx val="1"/>
              <c:layout>
                <c:manualLayout>
                  <c:x val="0.0"/>
                  <c:y val="0.00750751860253748"/>
                </c:manualLayout>
              </c:layout>
              <c:showLegendKey val="0"/>
              <c:showVal val="1"/>
              <c:showCatName val="0"/>
              <c:showSerName val="0"/>
              <c:showPercent val="0"/>
              <c:showBubbleSize val="0"/>
            </c:dLbl>
            <c:dLbl>
              <c:idx val="3"/>
              <c:layout>
                <c:manualLayout>
                  <c:x val="0.00555555555555555"/>
                  <c:y val="0.00375375930126874"/>
                </c:manualLayout>
              </c:layout>
              <c:showLegendKey val="0"/>
              <c:showVal val="1"/>
              <c:showCatName val="0"/>
              <c:showSerName val="0"/>
              <c:showPercent val="0"/>
              <c:showBubbleSize val="0"/>
            </c:dLbl>
            <c:dLbl>
              <c:idx val="6"/>
              <c:delete val="1"/>
            </c:dLbl>
            <c:dLbl>
              <c:idx val="7"/>
              <c:delete val="1"/>
            </c:dLbl>
            <c:dLbl>
              <c:idx val="8"/>
              <c:delete val="1"/>
            </c:dLbl>
            <c:dLbl>
              <c:idx val="9"/>
              <c:delete val="1"/>
            </c:dLbl>
            <c:dLbl>
              <c:idx val="10"/>
              <c:delete val="1"/>
            </c:dLbl>
            <c:dLbl>
              <c:idx val="11"/>
              <c:delete val="1"/>
            </c:dLbl>
            <c:txPr>
              <a:bodyPr/>
              <a:lstStyle/>
              <a:p>
                <a:pPr>
                  <a:defRPr sz="700" b="1"/>
                </a:pPr>
                <a:endParaRPr lang="en-US"/>
              </a:p>
            </c:txPr>
            <c:showLegendKey val="0"/>
            <c:showVal val="1"/>
            <c:showCatName val="0"/>
            <c:showSerName val="0"/>
            <c:showPercent val="0"/>
            <c:showBubbleSize val="0"/>
            <c:showLeaderLines val="0"/>
          </c:dLbls>
          <c:cat>
            <c:strRef>
              <c:f>'db2 pt'!$JG$483:$JR$483</c:f>
              <c:strCache>
                <c:ptCount val="12"/>
                <c:pt idx="0">
                  <c:v>NO REASON</c:v>
                </c:pt>
                <c:pt idx="1">
                  <c:v>No Functioning Latrine</c:v>
                </c:pt>
                <c:pt idx="2">
                  <c:v>Habitual Practice</c:v>
                </c:pt>
                <c:pt idx="3">
                  <c:v>Don't want to wait</c:v>
                </c:pt>
                <c:pt idx="4">
                  <c:v>Damaged / Broken / Insuffient Number</c:v>
                </c:pt>
                <c:pt idx="5">
                  <c:v>Not in our culture</c:v>
                </c:pt>
                <c:pt idx="6">
                  <c:v>Don't want to be seen using a latrine</c:v>
                </c:pt>
                <c:pt idx="7">
                  <c:v>Latrine SMELLS bad</c:v>
                </c:pt>
                <c:pt idx="8">
                  <c:v>Don't like using a latrine</c:v>
                </c:pt>
                <c:pt idx="9">
                  <c:v>Claustrophobic</c:v>
                </c:pt>
                <c:pt idx="10">
                  <c:v>Too many flies/mosquitos</c:v>
                </c:pt>
                <c:pt idx="11">
                  <c:v>Other</c:v>
                </c:pt>
              </c:strCache>
            </c:strRef>
          </c:cat>
          <c:val>
            <c:numRef>
              <c:f>'db2 pt'!$JG$484:$JR$484</c:f>
              <c:numCache>
                <c:formatCode>0%</c:formatCode>
                <c:ptCount val="12"/>
                <c:pt idx="0">
                  <c:v>0.368181818181818</c:v>
                </c:pt>
                <c:pt idx="1">
                  <c:v>0.186363636363636</c:v>
                </c:pt>
                <c:pt idx="2">
                  <c:v>0.190909090909091</c:v>
                </c:pt>
                <c:pt idx="3">
                  <c:v>0.127272727272727</c:v>
                </c:pt>
                <c:pt idx="4">
                  <c:v>0.109090909090909</c:v>
                </c:pt>
                <c:pt idx="5">
                  <c:v>0.0954545454545454</c:v>
                </c:pt>
                <c:pt idx="6">
                  <c:v>0.00909090909090909</c:v>
                </c:pt>
                <c:pt idx="7">
                  <c:v>0.0227272727272727</c:v>
                </c:pt>
                <c:pt idx="8">
                  <c:v>0.0227272727272727</c:v>
                </c:pt>
                <c:pt idx="9">
                  <c:v>0.00909090909090909</c:v>
                </c:pt>
                <c:pt idx="10">
                  <c:v>0.0</c:v>
                </c:pt>
                <c:pt idx="11">
                  <c:v>0.0772727272727273</c:v>
                </c:pt>
              </c:numCache>
            </c:numRef>
          </c:val>
        </c:ser>
        <c:ser>
          <c:idx val="1"/>
          <c:order val="1"/>
          <c:tx>
            <c:strRef>
              <c:f>'db2 pt'!$JF$485</c:f>
              <c:strCache>
                <c:ptCount val="1"/>
                <c:pt idx="0">
                  <c:v>Village</c:v>
                </c:pt>
              </c:strCache>
            </c:strRef>
          </c:tx>
          <c:spPr>
            <a:solidFill>
              <a:schemeClr val="tx2"/>
            </a:solidFill>
            <a:ln>
              <a:solidFill>
                <a:schemeClr val="tx1"/>
              </a:solidFill>
            </a:ln>
          </c:spPr>
          <c:invertIfNegative val="0"/>
          <c:dLbls>
            <c:dLbl>
              <c:idx val="1"/>
              <c:layout>
                <c:manualLayout>
                  <c:x val="-0.011111111111111"/>
                  <c:y val="3.44090627652008E-17"/>
                </c:manualLayout>
              </c:layout>
              <c:showLegendKey val="0"/>
              <c:showVal val="1"/>
              <c:showCatName val="0"/>
              <c:showSerName val="0"/>
              <c:showPercent val="0"/>
              <c:showBubbleSize val="0"/>
            </c:dLbl>
            <c:dLbl>
              <c:idx val="2"/>
              <c:layout>
                <c:manualLayout>
                  <c:x val="0.0"/>
                  <c:y val="-0.00375375930126874"/>
                </c:manualLayout>
              </c:layout>
              <c:showLegendKey val="0"/>
              <c:showVal val="1"/>
              <c:showCatName val="0"/>
              <c:showSerName val="0"/>
              <c:showPercent val="0"/>
              <c:showBubbleSize val="0"/>
            </c:dLbl>
            <c:dLbl>
              <c:idx val="3"/>
              <c:layout>
                <c:manualLayout>
                  <c:x val="0.0"/>
                  <c:y val="-0.00750751860253748"/>
                </c:manualLayout>
              </c:layout>
              <c:showLegendKey val="0"/>
              <c:showVal val="1"/>
              <c:showCatName val="0"/>
              <c:showSerName val="0"/>
              <c:showPercent val="0"/>
              <c:showBubbleSize val="0"/>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txPr>
              <a:bodyPr/>
              <a:lstStyle/>
              <a:p>
                <a:pPr>
                  <a:defRPr sz="700" b="0"/>
                </a:pPr>
                <a:endParaRPr lang="en-US"/>
              </a:p>
            </c:txPr>
            <c:showLegendKey val="0"/>
            <c:showVal val="1"/>
            <c:showCatName val="0"/>
            <c:showSerName val="0"/>
            <c:showPercent val="0"/>
            <c:showBubbleSize val="0"/>
            <c:showLeaderLines val="0"/>
          </c:dLbls>
          <c:cat>
            <c:strRef>
              <c:f>'db2 pt'!$JG$483:$JR$483</c:f>
              <c:strCache>
                <c:ptCount val="12"/>
                <c:pt idx="0">
                  <c:v>NO REASON</c:v>
                </c:pt>
                <c:pt idx="1">
                  <c:v>No Functioning Latrine</c:v>
                </c:pt>
                <c:pt idx="2">
                  <c:v>Habitual Practice</c:v>
                </c:pt>
                <c:pt idx="3">
                  <c:v>Don't want to wait</c:v>
                </c:pt>
                <c:pt idx="4">
                  <c:v>Damaged / Broken / Insuffient Number</c:v>
                </c:pt>
                <c:pt idx="5">
                  <c:v>Not in our culture</c:v>
                </c:pt>
                <c:pt idx="6">
                  <c:v>Don't want to be seen using a latrine</c:v>
                </c:pt>
                <c:pt idx="7">
                  <c:v>Latrine SMELLS bad</c:v>
                </c:pt>
                <c:pt idx="8">
                  <c:v>Don't like using a latrine</c:v>
                </c:pt>
                <c:pt idx="9">
                  <c:v>Claustrophobic</c:v>
                </c:pt>
                <c:pt idx="10">
                  <c:v>Too many flies/mosquitos</c:v>
                </c:pt>
                <c:pt idx="11">
                  <c:v>Other</c:v>
                </c:pt>
              </c:strCache>
            </c:strRef>
          </c:cat>
          <c:val>
            <c:numRef>
              <c:f>'db2 pt'!$JG$485:$JR$485</c:f>
              <c:numCache>
                <c:formatCode>0%</c:formatCode>
                <c:ptCount val="12"/>
                <c:pt idx="0">
                  <c:v>0.230769230769231</c:v>
                </c:pt>
                <c:pt idx="1">
                  <c:v>0.548076923076923</c:v>
                </c:pt>
                <c:pt idx="2">
                  <c:v>0.0961538461538461</c:v>
                </c:pt>
                <c:pt idx="3">
                  <c:v>0.115384615384615</c:v>
                </c:pt>
                <c:pt idx="4">
                  <c:v>0.0673076923076923</c:v>
                </c:pt>
                <c:pt idx="5">
                  <c:v>0.0625</c:v>
                </c:pt>
                <c:pt idx="6">
                  <c:v>0.0336538461538462</c:v>
                </c:pt>
                <c:pt idx="7">
                  <c:v>0.0192307692307692</c:v>
                </c:pt>
                <c:pt idx="8">
                  <c:v>0.0192307692307692</c:v>
                </c:pt>
                <c:pt idx="9">
                  <c:v>0.00480769230769231</c:v>
                </c:pt>
                <c:pt idx="10">
                  <c:v>0.00480769230769231</c:v>
                </c:pt>
                <c:pt idx="11">
                  <c:v>0.0144230769230769</c:v>
                </c:pt>
              </c:numCache>
            </c:numRef>
          </c:val>
        </c:ser>
        <c:dLbls>
          <c:showLegendKey val="0"/>
          <c:showVal val="0"/>
          <c:showCatName val="0"/>
          <c:showSerName val="0"/>
          <c:showPercent val="0"/>
          <c:showBubbleSize val="0"/>
        </c:dLbls>
        <c:gapWidth val="50"/>
        <c:axId val="2094801304"/>
        <c:axId val="2094806472"/>
      </c:barChart>
      <c:catAx>
        <c:axId val="2094801304"/>
        <c:scaling>
          <c:orientation val="maxMin"/>
        </c:scaling>
        <c:delete val="0"/>
        <c:axPos val="l"/>
        <c:majorTickMark val="none"/>
        <c:minorTickMark val="none"/>
        <c:tickLblPos val="nextTo"/>
        <c:txPr>
          <a:bodyPr/>
          <a:lstStyle/>
          <a:p>
            <a:pPr>
              <a:defRPr sz="800">
                <a:latin typeface="+mj-lt"/>
              </a:defRPr>
            </a:pPr>
            <a:endParaRPr lang="en-US"/>
          </a:p>
        </c:txPr>
        <c:crossAx val="2094806472"/>
        <c:crosses val="autoZero"/>
        <c:auto val="1"/>
        <c:lblAlgn val="ctr"/>
        <c:lblOffset val="100"/>
        <c:noMultiLvlLbl val="0"/>
      </c:catAx>
      <c:valAx>
        <c:axId val="2094806472"/>
        <c:scaling>
          <c:orientation val="minMax"/>
        </c:scaling>
        <c:delete val="0"/>
        <c:axPos val="t"/>
        <c:majorGridlines/>
        <c:numFmt formatCode="0%" sourceLinked="1"/>
        <c:majorTickMark val="none"/>
        <c:minorTickMark val="none"/>
        <c:tickLblPos val="nextTo"/>
        <c:txPr>
          <a:bodyPr/>
          <a:lstStyle/>
          <a:p>
            <a:pPr>
              <a:defRPr sz="800"/>
            </a:pPr>
            <a:endParaRPr lang="en-US"/>
          </a:p>
        </c:txPr>
        <c:crossAx val="2094801304"/>
        <c:crosses val="autoZero"/>
        <c:crossBetween val="between"/>
        <c:majorUnit val="0.2"/>
      </c:valAx>
      <c:spPr>
        <a:ln>
          <a:solidFill>
            <a:schemeClr val="tx1"/>
          </a:solid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Ethnicity</a:t>
            </a:r>
            <a:r>
              <a:rPr lang="en-US" sz="1000" baseline="0">
                <a:latin typeface="+mj-lt"/>
              </a:rPr>
              <a:t> of Respondent</a:t>
            </a:r>
            <a:endParaRPr lang="en-US" sz="1000">
              <a:latin typeface="+mj-lt"/>
            </a:endParaRPr>
          </a:p>
        </c:rich>
      </c:tx>
      <c:layout/>
      <c:overlay val="0"/>
    </c:title>
    <c:autoTitleDeleted val="0"/>
    <c:plotArea>
      <c:layout/>
      <c:pieChart>
        <c:varyColors val="1"/>
        <c:ser>
          <c:idx val="0"/>
          <c:order val="0"/>
          <c:spPr>
            <a:solidFill>
              <a:schemeClr val="accent6">
                <a:lumMod val="60000"/>
                <a:lumOff val="40000"/>
              </a:schemeClr>
            </a:solidFill>
            <a:ln>
              <a:solidFill>
                <a:schemeClr val="tx1"/>
              </a:solidFill>
            </a:ln>
          </c:spPr>
          <c:dPt>
            <c:idx val="1"/>
            <c:bubble3D val="0"/>
            <c:spPr>
              <a:solidFill>
                <a:srgbClr val="66FF66"/>
              </a:solidFill>
              <a:ln>
                <a:solidFill>
                  <a:schemeClr val="tx1"/>
                </a:solidFill>
              </a:ln>
            </c:spPr>
          </c:dPt>
          <c:dLbls>
            <c:dLbl>
              <c:idx val="0"/>
              <c:layout>
                <c:manualLayout>
                  <c:x val="-0.0299971566054243"/>
                  <c:y val="-0.283400809716599"/>
                </c:manualLayout>
              </c:layout>
              <c:showLegendKey val="0"/>
              <c:showVal val="0"/>
              <c:showCatName val="1"/>
              <c:showSerName val="0"/>
              <c:showPercent val="1"/>
              <c:showBubbleSize val="0"/>
            </c:dLbl>
            <c:dLbl>
              <c:idx val="1"/>
              <c:layout>
                <c:manualLayout>
                  <c:x val="-0.243089152562186"/>
                  <c:y val="0.0980007312223005"/>
                </c:manualLayout>
              </c:layout>
              <c:spPr/>
              <c:txPr>
                <a:bodyPr/>
                <a:lstStyle/>
                <a:p>
                  <a:pPr>
                    <a:defRPr sz="900">
                      <a:latin typeface="+mj-lt"/>
                    </a:defRPr>
                  </a:pPr>
                  <a:endParaRPr lang="en-US"/>
                </a:p>
              </c:txPr>
              <c:showLegendKey val="0"/>
              <c:showVal val="0"/>
              <c:showCatName val="1"/>
              <c:showSerName val="0"/>
              <c:showPercent val="1"/>
              <c:showBubbleSize val="0"/>
            </c:dLbl>
            <c:txPr>
              <a:bodyPr/>
              <a:lstStyle/>
              <a:p>
                <a:pPr>
                  <a:defRPr>
                    <a:latin typeface="+mj-lt"/>
                  </a:defRPr>
                </a:pPr>
                <a:endParaRPr lang="en-US"/>
              </a:p>
            </c:txPr>
            <c:showLegendKey val="0"/>
            <c:showVal val="0"/>
            <c:showCatName val="1"/>
            <c:showSerName val="0"/>
            <c:showPercent val="1"/>
            <c:showBubbleSize val="0"/>
            <c:showLeaderLines val="1"/>
          </c:dLbls>
          <c:cat>
            <c:strRef>
              <c:f>Sheet1!$A$5:$A$6</c:f>
              <c:strCache>
                <c:ptCount val="2"/>
                <c:pt idx="0">
                  <c:v>Muslim</c:v>
                </c:pt>
                <c:pt idx="1">
                  <c:v>Rakhine</c:v>
                </c:pt>
              </c:strCache>
            </c:strRef>
          </c:cat>
          <c:val>
            <c:numRef>
              <c:f>Sheet1!$B$5:$B$6</c:f>
              <c:numCache>
                <c:formatCode>General</c:formatCode>
                <c:ptCount val="2"/>
                <c:pt idx="0">
                  <c:v>403.0</c:v>
                </c:pt>
                <c:pt idx="1">
                  <c:v>25.0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latin typeface="+mj-lt"/>
              </a:defRPr>
            </a:pPr>
            <a:r>
              <a:rPr lang="en-US" sz="1000">
                <a:latin typeface="+mj-lt"/>
              </a:rPr>
              <a:t>Reasons why villagers do NOT construct latrines (n=208)</a:t>
            </a:r>
          </a:p>
        </c:rich>
      </c:tx>
      <c:layout>
        <c:manualLayout>
          <c:xMode val="edge"/>
          <c:yMode val="edge"/>
          <c:x val="0.0409645669291338"/>
          <c:y val="0.0"/>
        </c:manualLayout>
      </c:layout>
      <c:overlay val="0"/>
    </c:title>
    <c:autoTitleDeleted val="0"/>
    <c:plotArea>
      <c:layout>
        <c:manualLayout>
          <c:layoutTarget val="inner"/>
          <c:xMode val="edge"/>
          <c:yMode val="edge"/>
          <c:x val="0.438961067366579"/>
          <c:y val="0.177583468005364"/>
          <c:w val="0.46584208223972"/>
          <c:h val="0.77645882102575"/>
        </c:manualLayout>
      </c:layout>
      <c:barChart>
        <c:barDir val="bar"/>
        <c:grouping val="clustered"/>
        <c:varyColors val="0"/>
        <c:ser>
          <c:idx val="0"/>
          <c:order val="0"/>
          <c:tx>
            <c:strRef>
              <c:f>'db2 pt'!$LD$440</c:f>
              <c:strCache>
                <c:ptCount val="1"/>
                <c:pt idx="0">
                  <c:v>Village</c:v>
                </c:pt>
              </c:strCache>
            </c:strRef>
          </c:tx>
          <c:spPr>
            <a:solidFill>
              <a:schemeClr val="tx2"/>
            </a:solidFill>
            <a:ln>
              <a:solidFill>
                <a:schemeClr val="tx1"/>
              </a:solidFill>
            </a:ln>
          </c:spPr>
          <c:invertIfNegative val="0"/>
          <c:dPt>
            <c:idx val="5"/>
            <c:invertIfNegative val="0"/>
            <c:bubble3D val="0"/>
            <c:spPr>
              <a:solidFill>
                <a:srgbClr val="FF0000"/>
              </a:solidFill>
              <a:ln>
                <a:solidFill>
                  <a:schemeClr val="tx1"/>
                </a:solidFill>
              </a:ln>
            </c:spPr>
          </c:dPt>
          <c:dLbls>
            <c:txPr>
              <a:bodyPr/>
              <a:lstStyle/>
              <a:p>
                <a:pPr>
                  <a:defRPr sz="800" b="1"/>
                </a:pPr>
                <a:endParaRPr lang="en-US"/>
              </a:p>
            </c:txPr>
            <c:showLegendKey val="0"/>
            <c:showVal val="1"/>
            <c:showCatName val="0"/>
            <c:showSerName val="0"/>
            <c:showPercent val="0"/>
            <c:showBubbleSize val="0"/>
            <c:showLeaderLines val="0"/>
          </c:dLbls>
          <c:cat>
            <c:strRef>
              <c:f>'db2 pt'!$LE$439:$LJ$439</c:f>
              <c:strCache>
                <c:ptCount val="6"/>
                <c:pt idx="0">
                  <c:v>Can't afford Latrine</c:v>
                </c:pt>
                <c:pt idx="1">
                  <c:v>No access to building materials</c:v>
                </c:pt>
                <c:pt idx="2">
                  <c:v> No access to skilled workers</c:v>
                </c:pt>
                <c:pt idx="3">
                  <c:v> Do not need a latrine</c:v>
                </c:pt>
                <c:pt idx="4">
                  <c:v>Lack of space in compound</c:v>
                </c:pt>
                <c:pt idx="5">
                  <c:v>No answer</c:v>
                </c:pt>
              </c:strCache>
            </c:strRef>
          </c:cat>
          <c:val>
            <c:numRef>
              <c:f>'db2 pt'!$LE$440:$LJ$440</c:f>
              <c:numCache>
                <c:formatCode>0%</c:formatCode>
                <c:ptCount val="6"/>
                <c:pt idx="0">
                  <c:v>0.673076923076923</c:v>
                </c:pt>
                <c:pt idx="1">
                  <c:v>0.125</c:v>
                </c:pt>
                <c:pt idx="2">
                  <c:v>0.0336538461538462</c:v>
                </c:pt>
                <c:pt idx="3">
                  <c:v>0.0144230769230769</c:v>
                </c:pt>
                <c:pt idx="4">
                  <c:v>0.0192307692307692</c:v>
                </c:pt>
                <c:pt idx="5">
                  <c:v>0.225961538461538</c:v>
                </c:pt>
              </c:numCache>
            </c:numRef>
          </c:val>
        </c:ser>
        <c:dLbls>
          <c:showLegendKey val="0"/>
          <c:showVal val="0"/>
          <c:showCatName val="0"/>
          <c:showSerName val="0"/>
          <c:showPercent val="0"/>
          <c:showBubbleSize val="0"/>
        </c:dLbls>
        <c:gapWidth val="50"/>
        <c:axId val="2057016952"/>
        <c:axId val="2057020008"/>
      </c:barChart>
      <c:catAx>
        <c:axId val="2057016952"/>
        <c:scaling>
          <c:orientation val="maxMin"/>
        </c:scaling>
        <c:delete val="0"/>
        <c:axPos val="l"/>
        <c:majorTickMark val="out"/>
        <c:minorTickMark val="none"/>
        <c:tickLblPos val="nextTo"/>
        <c:txPr>
          <a:bodyPr/>
          <a:lstStyle/>
          <a:p>
            <a:pPr algn="r">
              <a:defRPr sz="900">
                <a:latin typeface="+mj-lt"/>
              </a:defRPr>
            </a:pPr>
            <a:endParaRPr lang="en-US"/>
          </a:p>
        </c:txPr>
        <c:crossAx val="2057020008"/>
        <c:crosses val="autoZero"/>
        <c:auto val="1"/>
        <c:lblAlgn val="ctr"/>
        <c:lblOffset val="100"/>
        <c:noMultiLvlLbl val="0"/>
      </c:catAx>
      <c:valAx>
        <c:axId val="2057020008"/>
        <c:scaling>
          <c:orientation val="minMax"/>
        </c:scaling>
        <c:delete val="0"/>
        <c:axPos val="t"/>
        <c:majorGridlines/>
        <c:numFmt formatCode="0%" sourceLinked="1"/>
        <c:majorTickMark val="out"/>
        <c:minorTickMark val="none"/>
        <c:tickLblPos val="nextTo"/>
        <c:txPr>
          <a:bodyPr/>
          <a:lstStyle/>
          <a:p>
            <a:pPr>
              <a:defRPr sz="800"/>
            </a:pPr>
            <a:endParaRPr lang="en-US"/>
          </a:p>
        </c:txPr>
        <c:crossAx val="2057016952"/>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sz="1000">
                <a:latin typeface="+mj-lt"/>
              </a:defRPr>
            </a:pPr>
            <a:r>
              <a:rPr lang="en-US" sz="1000">
                <a:latin typeface="+mj-lt"/>
              </a:rPr>
              <a:t>CHANGING</a:t>
            </a:r>
            <a:r>
              <a:rPr lang="en-US" sz="1000" baseline="0">
                <a:latin typeface="+mj-lt"/>
              </a:rPr>
              <a:t> DEFECATION HABITS</a:t>
            </a:r>
          </a:p>
          <a:p>
            <a:pPr algn="l">
              <a:defRPr sz="1000">
                <a:latin typeface="+mj-lt"/>
              </a:defRPr>
            </a:pPr>
            <a:r>
              <a:rPr lang="en-US" sz="1000" baseline="0">
                <a:latin typeface="+mj-lt"/>
              </a:rPr>
              <a:t> AT NIGHT</a:t>
            </a:r>
          </a:p>
          <a:p>
            <a:pPr algn="l">
              <a:defRPr sz="1000">
                <a:latin typeface="+mj-lt"/>
              </a:defRPr>
            </a:pPr>
            <a:endParaRPr lang="en-US" sz="1000">
              <a:latin typeface="+mj-lt"/>
            </a:endParaRPr>
          </a:p>
        </c:rich>
      </c:tx>
      <c:layout>
        <c:manualLayout>
          <c:xMode val="edge"/>
          <c:yMode val="edge"/>
          <c:x val="0.0724453262896987"/>
          <c:y val="0.0371057513914657"/>
        </c:manualLayout>
      </c:layout>
      <c:overlay val="0"/>
    </c:title>
    <c:autoTitleDeleted val="0"/>
    <c:plotArea>
      <c:layout>
        <c:manualLayout>
          <c:layoutTarget val="inner"/>
          <c:xMode val="edge"/>
          <c:yMode val="edge"/>
          <c:x val="0.427398194859983"/>
          <c:y val="0.24891750544169"/>
          <c:w val="0.491163013407108"/>
          <c:h val="0.690785648547178"/>
        </c:manualLayout>
      </c:layout>
      <c:barChart>
        <c:barDir val="bar"/>
        <c:grouping val="clustered"/>
        <c:varyColors val="0"/>
        <c:ser>
          <c:idx val="2"/>
          <c:order val="0"/>
          <c:tx>
            <c:strRef>
              <c:f>'db2 pt'!$KG$471</c:f>
              <c:strCache>
                <c:ptCount val="1"/>
                <c:pt idx="0">
                  <c:v>TOTAL</c:v>
                </c:pt>
              </c:strCache>
            </c:strRef>
          </c:tx>
          <c:spPr>
            <a:solidFill>
              <a:srgbClr val="008000"/>
            </a:solidFill>
            <a:ln>
              <a:solidFill>
                <a:schemeClr val="tx1"/>
              </a:solidFill>
            </a:ln>
          </c:spPr>
          <c:invertIfNegative val="0"/>
          <c:dPt>
            <c:idx val="0"/>
            <c:invertIfNegative val="0"/>
            <c:bubble3D val="0"/>
            <c:spPr>
              <a:solidFill>
                <a:srgbClr val="FF0000"/>
              </a:solidFill>
              <a:ln>
                <a:solidFill>
                  <a:schemeClr val="tx1"/>
                </a:solidFill>
              </a:ln>
            </c:spPr>
          </c:dPt>
          <c:dPt>
            <c:idx val="1"/>
            <c:invertIfNegative val="0"/>
            <c:bubble3D val="0"/>
            <c:spPr>
              <a:solidFill>
                <a:schemeClr val="accent6">
                  <a:lumMod val="60000"/>
                  <a:lumOff val="40000"/>
                </a:schemeClr>
              </a:solidFill>
              <a:ln>
                <a:solidFill>
                  <a:schemeClr val="tx1"/>
                </a:solidFill>
              </a:ln>
            </c:spPr>
          </c:dPt>
          <c:dPt>
            <c:idx val="2"/>
            <c:invertIfNegative val="0"/>
            <c:bubble3D val="0"/>
            <c:spPr>
              <a:solidFill>
                <a:schemeClr val="accent6">
                  <a:lumMod val="60000"/>
                  <a:lumOff val="40000"/>
                </a:schemeClr>
              </a:solidFill>
              <a:ln>
                <a:solidFill>
                  <a:schemeClr val="tx1"/>
                </a:solidFill>
              </a:ln>
            </c:spPr>
          </c:dPt>
          <c:dPt>
            <c:idx val="3"/>
            <c:invertIfNegative val="0"/>
            <c:bubble3D val="0"/>
            <c:spPr>
              <a:solidFill>
                <a:schemeClr val="accent6">
                  <a:lumMod val="60000"/>
                  <a:lumOff val="40000"/>
                </a:schemeClr>
              </a:solidFill>
              <a:ln>
                <a:solidFill>
                  <a:schemeClr val="tx1"/>
                </a:solidFill>
              </a:ln>
            </c:spPr>
          </c:dPt>
          <c:dPt>
            <c:idx val="4"/>
            <c:invertIfNegative val="0"/>
            <c:bubble3D val="0"/>
            <c:spPr>
              <a:solidFill>
                <a:schemeClr val="accent5">
                  <a:lumMod val="60000"/>
                  <a:lumOff val="40000"/>
                </a:schemeClr>
              </a:solidFill>
              <a:ln>
                <a:solidFill>
                  <a:schemeClr val="tx1"/>
                </a:solidFill>
              </a:ln>
            </c:spPr>
          </c:dPt>
          <c:dPt>
            <c:idx val="5"/>
            <c:invertIfNegative val="0"/>
            <c:bubble3D val="0"/>
            <c:spPr>
              <a:solidFill>
                <a:schemeClr val="accent5">
                  <a:lumMod val="60000"/>
                  <a:lumOff val="40000"/>
                </a:schemeClr>
              </a:solidFill>
              <a:ln>
                <a:solidFill>
                  <a:schemeClr val="tx1"/>
                </a:solidFill>
              </a:ln>
            </c:spPr>
          </c:dPt>
          <c:dPt>
            <c:idx val="6"/>
            <c:invertIfNegative val="0"/>
            <c:bubble3D val="0"/>
            <c:spPr>
              <a:solidFill>
                <a:schemeClr val="accent5">
                  <a:lumMod val="60000"/>
                  <a:lumOff val="40000"/>
                </a:schemeClr>
              </a:solidFill>
              <a:ln>
                <a:solidFill>
                  <a:schemeClr val="tx1"/>
                </a:solidFill>
              </a:ln>
            </c:spPr>
          </c:dPt>
          <c:dLbls>
            <c:txPr>
              <a:bodyPr/>
              <a:lstStyle/>
              <a:p>
                <a:pPr>
                  <a:defRPr sz="800" b="1"/>
                </a:pPr>
                <a:endParaRPr lang="en-US"/>
              </a:p>
            </c:txPr>
            <c:showLegendKey val="0"/>
            <c:showVal val="1"/>
            <c:showCatName val="0"/>
            <c:showSerName val="0"/>
            <c:showPercent val="0"/>
            <c:showBubbleSize val="0"/>
            <c:showLeaderLines val="0"/>
          </c:dLbls>
          <c:cat>
            <c:strRef>
              <c:f>'db2 pt'!$KH$468:$KN$468</c:f>
              <c:strCache>
                <c:ptCount val="7"/>
                <c:pt idx="0">
                  <c:v>NOBODY changes_x000d_habits</c:v>
                </c:pt>
                <c:pt idx="1">
                  <c:v>Elderly Women (+60 yrs)</c:v>
                </c:pt>
                <c:pt idx="2">
                  <c:v>Adult Women (18-60 yrs)</c:v>
                </c:pt>
                <c:pt idx="3">
                  <c:v>Girls (5-17 yrs)</c:v>
                </c:pt>
                <c:pt idx="4">
                  <c:v>Elderly Men (+60 yrs)</c:v>
                </c:pt>
                <c:pt idx="5">
                  <c:v>Adult Men (18-60 yrs)</c:v>
                </c:pt>
                <c:pt idx="6">
                  <c:v>Boys (5-17 yrs)</c:v>
                </c:pt>
              </c:strCache>
            </c:strRef>
          </c:cat>
          <c:val>
            <c:numRef>
              <c:f>'db2 pt'!$KH$471:$KN$471</c:f>
              <c:numCache>
                <c:formatCode>0%</c:formatCode>
                <c:ptCount val="7"/>
                <c:pt idx="0">
                  <c:v>0.614485981308411</c:v>
                </c:pt>
                <c:pt idx="1">
                  <c:v>0.126168224299065</c:v>
                </c:pt>
                <c:pt idx="2">
                  <c:v>0.147196261682243</c:v>
                </c:pt>
                <c:pt idx="3">
                  <c:v>0.0934579439252336</c:v>
                </c:pt>
                <c:pt idx="4">
                  <c:v>0.0537383177570093</c:v>
                </c:pt>
                <c:pt idx="5">
                  <c:v>0.0186915887850467</c:v>
                </c:pt>
                <c:pt idx="6">
                  <c:v>0.0467289719626168</c:v>
                </c:pt>
              </c:numCache>
            </c:numRef>
          </c:val>
        </c:ser>
        <c:dLbls>
          <c:showLegendKey val="0"/>
          <c:showVal val="0"/>
          <c:showCatName val="0"/>
          <c:showSerName val="0"/>
          <c:showPercent val="0"/>
          <c:showBubbleSize val="0"/>
        </c:dLbls>
        <c:gapWidth val="50"/>
        <c:axId val="2091547672"/>
        <c:axId val="2091512776"/>
      </c:barChart>
      <c:catAx>
        <c:axId val="2091547672"/>
        <c:scaling>
          <c:orientation val="maxMin"/>
        </c:scaling>
        <c:delete val="0"/>
        <c:axPos val="l"/>
        <c:majorTickMark val="none"/>
        <c:minorTickMark val="none"/>
        <c:tickLblPos val="nextTo"/>
        <c:txPr>
          <a:bodyPr/>
          <a:lstStyle/>
          <a:p>
            <a:pPr algn="r">
              <a:defRPr sz="800">
                <a:latin typeface="+mj-lt"/>
              </a:defRPr>
            </a:pPr>
            <a:endParaRPr lang="en-US"/>
          </a:p>
        </c:txPr>
        <c:crossAx val="2091512776"/>
        <c:crosses val="autoZero"/>
        <c:auto val="1"/>
        <c:lblAlgn val="ctr"/>
        <c:lblOffset val="100"/>
        <c:noMultiLvlLbl val="0"/>
      </c:catAx>
      <c:valAx>
        <c:axId val="2091512776"/>
        <c:scaling>
          <c:orientation val="minMax"/>
        </c:scaling>
        <c:delete val="0"/>
        <c:axPos val="t"/>
        <c:majorGridlines/>
        <c:numFmt formatCode="0%" sourceLinked="1"/>
        <c:majorTickMark val="none"/>
        <c:minorTickMark val="none"/>
        <c:tickLblPos val="nextTo"/>
        <c:txPr>
          <a:bodyPr/>
          <a:lstStyle/>
          <a:p>
            <a:pPr>
              <a:defRPr sz="700"/>
            </a:pPr>
            <a:endParaRPr lang="en-US"/>
          </a:p>
        </c:txPr>
        <c:crossAx val="2091547672"/>
        <c:crosses val="autoZero"/>
        <c:crossBetween val="between"/>
      </c:valAx>
      <c:spPr>
        <a:ln w="3175" cmpd="sng">
          <a:solidFill>
            <a:schemeClr val="tx1"/>
          </a:solidFill>
        </a:ln>
      </c:spPr>
    </c:plotArea>
    <c:plotVisOnly val="1"/>
    <c:dispBlanksAs val="gap"/>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latin typeface="+mj-lt"/>
              </a:defRPr>
            </a:pPr>
            <a:r>
              <a:rPr lang="en-US" sz="1000">
                <a:latin typeface="+mj-lt"/>
              </a:rPr>
              <a:t>Different</a:t>
            </a:r>
            <a:r>
              <a:rPr lang="en-US" sz="1000" baseline="0">
                <a:latin typeface="+mj-lt"/>
              </a:rPr>
              <a:t> defecation </a:t>
            </a:r>
          </a:p>
          <a:p>
            <a:pPr algn="l">
              <a:defRPr>
                <a:latin typeface="+mj-lt"/>
              </a:defRPr>
            </a:pPr>
            <a:r>
              <a:rPr lang="en-US" sz="1000" baseline="0">
                <a:latin typeface="+mj-lt"/>
              </a:rPr>
              <a:t>habit at night (n=165)</a:t>
            </a:r>
            <a:endParaRPr lang="en-US" sz="1000">
              <a:latin typeface="+mj-lt"/>
            </a:endParaRPr>
          </a:p>
        </c:rich>
      </c:tx>
      <c:layout>
        <c:manualLayout>
          <c:xMode val="edge"/>
          <c:yMode val="edge"/>
          <c:x val="0.0360895513060867"/>
          <c:y val="0.0"/>
        </c:manualLayout>
      </c:layout>
      <c:overlay val="0"/>
    </c:title>
    <c:autoTitleDeleted val="0"/>
    <c:plotArea>
      <c:layout>
        <c:manualLayout>
          <c:layoutTarget val="inner"/>
          <c:xMode val="edge"/>
          <c:yMode val="edge"/>
          <c:x val="0.332862335768087"/>
          <c:y val="0.261225442826693"/>
          <c:w val="0.611104812151737"/>
          <c:h val="0.693975430111753"/>
        </c:manualLayout>
      </c:layout>
      <c:barChart>
        <c:barDir val="bar"/>
        <c:grouping val="clustered"/>
        <c:varyColors val="0"/>
        <c:ser>
          <c:idx val="0"/>
          <c:order val="0"/>
          <c:tx>
            <c:strRef>
              <c:f>'db2 pt'!$KV$440</c:f>
              <c:strCache>
                <c:ptCount val="1"/>
                <c:pt idx="0">
                  <c:v>IDP Camp</c:v>
                </c:pt>
              </c:strCache>
            </c:strRef>
          </c:tx>
          <c:spPr>
            <a:solidFill>
              <a:srgbClr val="FFFF00"/>
            </a:solidFill>
            <a:ln>
              <a:solidFill>
                <a:schemeClr val="tx1"/>
              </a:solidFill>
            </a:ln>
          </c:spPr>
          <c:invertIfNegative val="0"/>
          <c:dLbls>
            <c:txPr>
              <a:bodyPr/>
              <a:lstStyle/>
              <a:p>
                <a:pPr>
                  <a:defRPr sz="800" b="1">
                    <a:latin typeface="+mj-lt"/>
                  </a:defRPr>
                </a:pPr>
                <a:endParaRPr lang="en-US"/>
              </a:p>
            </c:txPr>
            <c:showLegendKey val="0"/>
            <c:showVal val="1"/>
            <c:showCatName val="0"/>
            <c:showSerName val="0"/>
            <c:showPercent val="0"/>
            <c:showBubbleSize val="0"/>
            <c:showLeaderLines val="0"/>
          </c:dLbls>
          <c:cat>
            <c:strRef>
              <c:f>'db2 pt'!$KW$439:$LB$439</c:f>
              <c:strCache>
                <c:ptCount val="6"/>
                <c:pt idx="0">
                  <c:v>No answer</c:v>
                </c:pt>
                <c:pt idx="1">
                  <c:v>Night Soil</c:v>
                </c:pt>
                <c:pt idx="2">
                  <c:v>Use a potty /bed pan</c:v>
                </c:pt>
                <c:pt idx="3">
                  <c:v>Open Defecation</c:v>
                </c:pt>
                <c:pt idx="4">
                  <c:v>Use a latrine</c:v>
                </c:pt>
                <c:pt idx="5">
                  <c:v>Other</c:v>
                </c:pt>
              </c:strCache>
            </c:strRef>
          </c:cat>
          <c:val>
            <c:numRef>
              <c:f>'db2 pt'!$KW$440:$LB$440</c:f>
              <c:numCache>
                <c:formatCode>0%</c:formatCode>
                <c:ptCount val="6"/>
                <c:pt idx="0">
                  <c:v>0.075</c:v>
                </c:pt>
                <c:pt idx="1">
                  <c:v>0.2375</c:v>
                </c:pt>
                <c:pt idx="2">
                  <c:v>0.425</c:v>
                </c:pt>
                <c:pt idx="3">
                  <c:v>0.0625</c:v>
                </c:pt>
                <c:pt idx="4">
                  <c:v>0.25</c:v>
                </c:pt>
                <c:pt idx="5">
                  <c:v>0.0125</c:v>
                </c:pt>
              </c:numCache>
            </c:numRef>
          </c:val>
        </c:ser>
        <c:ser>
          <c:idx val="1"/>
          <c:order val="1"/>
          <c:tx>
            <c:strRef>
              <c:f>'db2 pt'!$KV$441</c:f>
              <c:strCache>
                <c:ptCount val="1"/>
                <c:pt idx="0">
                  <c:v>Village</c:v>
                </c:pt>
              </c:strCache>
            </c:strRef>
          </c:tx>
          <c:spPr>
            <a:solidFill>
              <a:schemeClr val="tx2"/>
            </a:solidFill>
            <a:ln>
              <a:solidFill>
                <a:schemeClr val="tx1"/>
              </a:solidFill>
            </a:ln>
          </c:spPr>
          <c:invertIfNegative val="0"/>
          <c:dLbls>
            <c:txPr>
              <a:bodyPr/>
              <a:lstStyle/>
              <a:p>
                <a:pPr>
                  <a:defRPr sz="800">
                    <a:latin typeface="+mj-lt"/>
                  </a:defRPr>
                </a:pPr>
                <a:endParaRPr lang="en-US"/>
              </a:p>
            </c:txPr>
            <c:showLegendKey val="0"/>
            <c:showVal val="1"/>
            <c:showCatName val="0"/>
            <c:showSerName val="0"/>
            <c:showPercent val="0"/>
            <c:showBubbleSize val="0"/>
            <c:showLeaderLines val="0"/>
          </c:dLbls>
          <c:cat>
            <c:strRef>
              <c:f>'db2 pt'!$KW$439:$LB$439</c:f>
              <c:strCache>
                <c:ptCount val="6"/>
                <c:pt idx="0">
                  <c:v>No answer</c:v>
                </c:pt>
                <c:pt idx="1">
                  <c:v>Night Soil</c:v>
                </c:pt>
                <c:pt idx="2">
                  <c:v>Use a potty /bed pan</c:v>
                </c:pt>
                <c:pt idx="3">
                  <c:v>Open Defecation</c:v>
                </c:pt>
                <c:pt idx="4">
                  <c:v>Use a latrine</c:v>
                </c:pt>
                <c:pt idx="5">
                  <c:v>Other</c:v>
                </c:pt>
              </c:strCache>
            </c:strRef>
          </c:cat>
          <c:val>
            <c:numRef>
              <c:f>'db2 pt'!$KW$441:$LB$441</c:f>
              <c:numCache>
                <c:formatCode>0%</c:formatCode>
                <c:ptCount val="6"/>
                <c:pt idx="0">
                  <c:v>0.117647058823529</c:v>
                </c:pt>
                <c:pt idx="1">
                  <c:v>0.258823529411765</c:v>
                </c:pt>
                <c:pt idx="2">
                  <c:v>0.188235294117647</c:v>
                </c:pt>
                <c:pt idx="3">
                  <c:v>0.258823529411765</c:v>
                </c:pt>
                <c:pt idx="4">
                  <c:v>0.2</c:v>
                </c:pt>
                <c:pt idx="5">
                  <c:v>0.0235294117647059</c:v>
                </c:pt>
              </c:numCache>
            </c:numRef>
          </c:val>
        </c:ser>
        <c:dLbls>
          <c:showLegendKey val="0"/>
          <c:showVal val="0"/>
          <c:showCatName val="0"/>
          <c:showSerName val="0"/>
          <c:showPercent val="0"/>
          <c:showBubbleSize val="0"/>
        </c:dLbls>
        <c:gapWidth val="50"/>
        <c:axId val="2100874856"/>
        <c:axId val="2100878152"/>
      </c:barChart>
      <c:catAx>
        <c:axId val="2100874856"/>
        <c:scaling>
          <c:orientation val="maxMin"/>
        </c:scaling>
        <c:delete val="0"/>
        <c:axPos val="l"/>
        <c:majorTickMark val="none"/>
        <c:minorTickMark val="none"/>
        <c:tickLblPos val="nextTo"/>
        <c:txPr>
          <a:bodyPr/>
          <a:lstStyle/>
          <a:p>
            <a:pPr>
              <a:defRPr sz="800">
                <a:latin typeface="+mj-lt"/>
              </a:defRPr>
            </a:pPr>
            <a:endParaRPr lang="en-US"/>
          </a:p>
        </c:txPr>
        <c:crossAx val="2100878152"/>
        <c:crosses val="autoZero"/>
        <c:auto val="1"/>
        <c:lblAlgn val="ctr"/>
        <c:lblOffset val="100"/>
        <c:noMultiLvlLbl val="0"/>
      </c:catAx>
      <c:valAx>
        <c:axId val="2100878152"/>
        <c:scaling>
          <c:orientation val="minMax"/>
        </c:scaling>
        <c:delete val="0"/>
        <c:axPos val="t"/>
        <c:majorGridlines/>
        <c:numFmt formatCode="0%" sourceLinked="1"/>
        <c:majorTickMark val="none"/>
        <c:minorTickMark val="none"/>
        <c:tickLblPos val="nextTo"/>
        <c:txPr>
          <a:bodyPr/>
          <a:lstStyle/>
          <a:p>
            <a:pPr>
              <a:defRPr sz="700"/>
            </a:pPr>
            <a:endParaRPr lang="en-US"/>
          </a:p>
        </c:txPr>
        <c:crossAx val="2100874856"/>
        <c:crosses val="autoZero"/>
        <c:crossBetween val="between"/>
        <c:majorUnit val="0.15"/>
        <c:minorUnit val="0.05"/>
      </c:valAx>
      <c:spPr>
        <a:ln>
          <a:solidFill>
            <a:schemeClr val="tx1"/>
          </a:solidFill>
        </a:ln>
      </c:spPr>
    </c:plotArea>
    <c:legend>
      <c:legendPos val="t"/>
      <c:layout>
        <c:manualLayout>
          <c:xMode val="edge"/>
          <c:yMode val="edge"/>
          <c:x val="0.549988889775175"/>
          <c:y val="0.0416666666666667"/>
          <c:w val="0.384065088824823"/>
          <c:h val="0.0651986730825313"/>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latin typeface="+mj-lt"/>
              </a:defRPr>
            </a:pPr>
            <a:r>
              <a:rPr lang="en-US" sz="1000">
                <a:latin typeface="+mj-lt"/>
              </a:rPr>
              <a:t>Reason for Changing </a:t>
            </a:r>
          </a:p>
          <a:p>
            <a:pPr algn="l">
              <a:defRPr>
                <a:latin typeface="+mj-lt"/>
              </a:defRPr>
            </a:pPr>
            <a:r>
              <a:rPr lang="en-US" sz="1000">
                <a:latin typeface="+mj-lt"/>
              </a:rPr>
              <a:t>Defecation Habits (n=165)</a:t>
            </a:r>
          </a:p>
        </c:rich>
      </c:tx>
      <c:layout>
        <c:manualLayout>
          <c:xMode val="edge"/>
          <c:yMode val="edge"/>
          <c:x val="0.0312309437526307"/>
          <c:y val="0.037037037037037"/>
        </c:manualLayout>
      </c:layout>
      <c:overlay val="0"/>
    </c:title>
    <c:autoTitleDeleted val="0"/>
    <c:plotArea>
      <c:layout>
        <c:manualLayout>
          <c:layoutTarget val="inner"/>
          <c:xMode val="edge"/>
          <c:yMode val="edge"/>
          <c:x val="0.363438973798"/>
          <c:y val="0.262775955088947"/>
          <c:w val="0.572070463669106"/>
          <c:h val="0.668705526392534"/>
        </c:manualLayout>
      </c:layout>
      <c:barChart>
        <c:barDir val="bar"/>
        <c:grouping val="clustered"/>
        <c:varyColors val="0"/>
        <c:ser>
          <c:idx val="0"/>
          <c:order val="0"/>
          <c:tx>
            <c:strRef>
              <c:f>'db2 pt'!$KO$440</c:f>
              <c:strCache>
                <c:ptCount val="1"/>
                <c:pt idx="0">
                  <c:v>IDP Camp</c:v>
                </c:pt>
              </c:strCache>
            </c:strRef>
          </c:tx>
          <c:spPr>
            <a:solidFill>
              <a:srgbClr val="FFFF00"/>
            </a:solidFill>
            <a:ln>
              <a:solidFill>
                <a:schemeClr val="tx1"/>
              </a:solidFill>
            </a:ln>
          </c:spPr>
          <c:invertIfNegative val="0"/>
          <c:dLbls>
            <c:dLbl>
              <c:idx val="1"/>
              <c:layout>
                <c:manualLayout>
                  <c:x val="0.0123660346248969"/>
                  <c:y val="0.00463181685622626"/>
                </c:manualLayout>
              </c:layout>
              <c:showLegendKey val="0"/>
              <c:showVal val="1"/>
              <c:showCatName val="0"/>
              <c:showSerName val="0"/>
              <c:showPercent val="0"/>
              <c:showBubbleSize val="0"/>
            </c:dLbl>
            <c:txPr>
              <a:bodyPr/>
              <a:lstStyle/>
              <a:p>
                <a:pPr>
                  <a:defRPr sz="800" b="1">
                    <a:latin typeface="+mj-lt"/>
                  </a:defRPr>
                </a:pPr>
                <a:endParaRPr lang="en-US"/>
              </a:p>
            </c:txPr>
            <c:showLegendKey val="0"/>
            <c:showVal val="1"/>
            <c:showCatName val="0"/>
            <c:showSerName val="0"/>
            <c:showPercent val="0"/>
            <c:showBubbleSize val="0"/>
            <c:showLeaderLines val="0"/>
          </c:dLbls>
          <c:cat>
            <c:strRef>
              <c:f>'db2 pt'!$KP$439:$KU$439</c:f>
              <c:strCache>
                <c:ptCount val="6"/>
                <c:pt idx="0">
                  <c:v>Do not feel SAFE</c:v>
                </c:pt>
                <c:pt idx="1">
                  <c:v>Scared of meeting people </c:v>
                </c:pt>
                <c:pt idx="2">
                  <c:v>Too dark</c:v>
                </c:pt>
                <c:pt idx="3">
                  <c:v>Access is difficult</c:v>
                </c:pt>
                <c:pt idx="4">
                  <c:v>Too far</c:v>
                </c:pt>
                <c:pt idx="5">
                  <c:v>Other</c:v>
                </c:pt>
              </c:strCache>
            </c:strRef>
          </c:cat>
          <c:val>
            <c:numRef>
              <c:f>'db2 pt'!$KP$440:$KU$440</c:f>
              <c:numCache>
                <c:formatCode>0%</c:formatCode>
                <c:ptCount val="6"/>
                <c:pt idx="0">
                  <c:v>0.3375</c:v>
                </c:pt>
                <c:pt idx="1">
                  <c:v>0.1125</c:v>
                </c:pt>
                <c:pt idx="2">
                  <c:v>0.25</c:v>
                </c:pt>
                <c:pt idx="3">
                  <c:v>0.125</c:v>
                </c:pt>
                <c:pt idx="4">
                  <c:v>0.1</c:v>
                </c:pt>
                <c:pt idx="5">
                  <c:v>0.0875</c:v>
                </c:pt>
              </c:numCache>
            </c:numRef>
          </c:val>
        </c:ser>
        <c:ser>
          <c:idx val="1"/>
          <c:order val="1"/>
          <c:tx>
            <c:strRef>
              <c:f>'db2 pt'!$KO$441</c:f>
              <c:strCache>
                <c:ptCount val="1"/>
                <c:pt idx="0">
                  <c:v>Village</c:v>
                </c:pt>
              </c:strCache>
            </c:strRef>
          </c:tx>
          <c:spPr>
            <a:solidFill>
              <a:schemeClr val="tx2"/>
            </a:solidFill>
            <a:ln>
              <a:solidFill>
                <a:schemeClr val="tx1"/>
              </a:solidFill>
            </a:ln>
          </c:spPr>
          <c:invertIfNegative val="0"/>
          <c:dLbls>
            <c:dLbl>
              <c:idx val="4"/>
              <c:delete val="1"/>
            </c:dLbl>
            <c:txPr>
              <a:bodyPr/>
              <a:lstStyle/>
              <a:p>
                <a:pPr>
                  <a:defRPr sz="800"/>
                </a:pPr>
                <a:endParaRPr lang="en-US"/>
              </a:p>
            </c:txPr>
            <c:showLegendKey val="0"/>
            <c:showVal val="1"/>
            <c:showCatName val="0"/>
            <c:showSerName val="0"/>
            <c:showPercent val="0"/>
            <c:showBubbleSize val="0"/>
            <c:showLeaderLines val="0"/>
          </c:dLbls>
          <c:cat>
            <c:strRef>
              <c:f>'db2 pt'!$KP$439:$KU$439</c:f>
              <c:strCache>
                <c:ptCount val="6"/>
                <c:pt idx="0">
                  <c:v>Do not feel SAFE</c:v>
                </c:pt>
                <c:pt idx="1">
                  <c:v>Scared of meeting people </c:v>
                </c:pt>
                <c:pt idx="2">
                  <c:v>Too dark</c:v>
                </c:pt>
                <c:pt idx="3">
                  <c:v>Access is difficult</c:v>
                </c:pt>
                <c:pt idx="4">
                  <c:v>Too far</c:v>
                </c:pt>
                <c:pt idx="5">
                  <c:v>Other</c:v>
                </c:pt>
              </c:strCache>
            </c:strRef>
          </c:cat>
          <c:val>
            <c:numRef>
              <c:f>'db2 pt'!$KP$441:$KU$441</c:f>
              <c:numCache>
                <c:formatCode>0%</c:formatCode>
                <c:ptCount val="6"/>
                <c:pt idx="0">
                  <c:v>0.235294117647059</c:v>
                </c:pt>
                <c:pt idx="1">
                  <c:v>0.329411764705882</c:v>
                </c:pt>
                <c:pt idx="2">
                  <c:v>0.117647058823529</c:v>
                </c:pt>
                <c:pt idx="3">
                  <c:v>0.0941176470588235</c:v>
                </c:pt>
                <c:pt idx="4">
                  <c:v>0.0235294117647059</c:v>
                </c:pt>
                <c:pt idx="5">
                  <c:v>0.0941176470588235</c:v>
                </c:pt>
              </c:numCache>
            </c:numRef>
          </c:val>
        </c:ser>
        <c:dLbls>
          <c:showLegendKey val="0"/>
          <c:showVal val="0"/>
          <c:showCatName val="0"/>
          <c:showSerName val="0"/>
          <c:showPercent val="0"/>
          <c:showBubbleSize val="0"/>
        </c:dLbls>
        <c:gapWidth val="50"/>
        <c:axId val="2099147864"/>
        <c:axId val="2100911736"/>
      </c:barChart>
      <c:catAx>
        <c:axId val="2099147864"/>
        <c:scaling>
          <c:orientation val="maxMin"/>
        </c:scaling>
        <c:delete val="0"/>
        <c:axPos val="l"/>
        <c:majorTickMark val="none"/>
        <c:minorTickMark val="none"/>
        <c:tickLblPos val="nextTo"/>
        <c:txPr>
          <a:bodyPr/>
          <a:lstStyle/>
          <a:p>
            <a:pPr algn="r">
              <a:defRPr sz="900">
                <a:latin typeface="+mj-lt"/>
              </a:defRPr>
            </a:pPr>
            <a:endParaRPr lang="en-US"/>
          </a:p>
        </c:txPr>
        <c:crossAx val="2100911736"/>
        <c:crosses val="autoZero"/>
        <c:auto val="1"/>
        <c:lblAlgn val="ctr"/>
        <c:lblOffset val="100"/>
        <c:noMultiLvlLbl val="0"/>
      </c:catAx>
      <c:valAx>
        <c:axId val="2100911736"/>
        <c:scaling>
          <c:orientation val="minMax"/>
        </c:scaling>
        <c:delete val="0"/>
        <c:axPos val="t"/>
        <c:majorGridlines/>
        <c:numFmt formatCode="0%" sourceLinked="1"/>
        <c:majorTickMark val="none"/>
        <c:minorTickMark val="none"/>
        <c:tickLblPos val="nextTo"/>
        <c:txPr>
          <a:bodyPr/>
          <a:lstStyle/>
          <a:p>
            <a:pPr>
              <a:defRPr sz="800"/>
            </a:pPr>
            <a:endParaRPr lang="en-US"/>
          </a:p>
        </c:txPr>
        <c:crossAx val="2099147864"/>
        <c:crosses val="autoZero"/>
        <c:crossBetween val="between"/>
      </c:valAx>
      <c:spPr>
        <a:ln>
          <a:solidFill>
            <a:schemeClr val="tx1"/>
          </a:solidFill>
        </a:ln>
      </c:spPr>
    </c:plotArea>
    <c:legend>
      <c:legendPos val="t"/>
      <c:layout>
        <c:manualLayout>
          <c:xMode val="edge"/>
          <c:yMode val="edge"/>
          <c:x val="0.62679145218142"/>
          <c:y val="0.0416666666666667"/>
          <c:w val="0.288300952282036"/>
          <c:h val="0.125383858267717"/>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latin typeface="+mj-lt"/>
              </a:defRPr>
            </a:pPr>
            <a:r>
              <a:rPr lang="en-US" sz="1000">
                <a:latin typeface="+mj-lt"/>
              </a:rPr>
              <a:t>Reasons for throwing infant / child faeces</a:t>
            </a:r>
            <a:r>
              <a:rPr lang="en-US" sz="1000" baseline="0">
                <a:latin typeface="+mj-lt"/>
              </a:rPr>
              <a:t> in open places (n=174)</a:t>
            </a:r>
            <a:endParaRPr lang="en-US" sz="1000">
              <a:latin typeface="+mj-lt"/>
            </a:endParaRPr>
          </a:p>
        </c:rich>
      </c:tx>
      <c:layout>
        <c:manualLayout>
          <c:xMode val="edge"/>
          <c:yMode val="edge"/>
          <c:x val="0.0314818460192476"/>
          <c:y val="0.0416666666666667"/>
        </c:manualLayout>
      </c:layout>
      <c:overlay val="0"/>
    </c:title>
    <c:autoTitleDeleted val="0"/>
    <c:plotArea>
      <c:layout/>
      <c:barChart>
        <c:barDir val="col"/>
        <c:grouping val="clustered"/>
        <c:varyColors val="0"/>
        <c:ser>
          <c:idx val="2"/>
          <c:order val="0"/>
          <c:tx>
            <c:strRef>
              <c:f>'db2 pt'!$KE$454</c:f>
              <c:strCache>
                <c:ptCount val="1"/>
                <c:pt idx="0">
                  <c:v>TOTAL</c:v>
                </c:pt>
              </c:strCache>
            </c:strRef>
          </c:tx>
          <c:spPr>
            <a:solidFill>
              <a:srgbClr val="008000"/>
            </a:solidFill>
            <a:ln>
              <a:solidFill>
                <a:schemeClr val="tx1"/>
              </a:solidFill>
            </a:ln>
          </c:spPr>
          <c:invertIfNegative val="0"/>
          <c:dPt>
            <c:idx val="0"/>
            <c:invertIfNegative val="0"/>
            <c:bubble3D val="0"/>
            <c:spPr>
              <a:solidFill>
                <a:srgbClr val="FF0000"/>
              </a:solidFill>
              <a:ln>
                <a:solidFill>
                  <a:schemeClr val="tx1"/>
                </a:solidFill>
              </a:ln>
            </c:spPr>
          </c:dPt>
          <c:dLbls>
            <c:txPr>
              <a:bodyPr/>
              <a:lstStyle/>
              <a:p>
                <a:pPr>
                  <a:defRPr sz="800" b="1"/>
                </a:pPr>
                <a:endParaRPr lang="en-US"/>
              </a:p>
            </c:txPr>
            <c:showLegendKey val="0"/>
            <c:showVal val="1"/>
            <c:showCatName val="0"/>
            <c:showSerName val="0"/>
            <c:showPercent val="0"/>
            <c:showBubbleSize val="0"/>
            <c:showLeaderLines val="0"/>
          </c:dLbls>
          <c:cat>
            <c:strRef>
              <c:f>'db2 pt'!$KF$451:$KJ$451</c:f>
              <c:strCache>
                <c:ptCount val="5"/>
                <c:pt idx="0">
                  <c:v>NO REASON</c:v>
                </c:pt>
                <c:pt idx="1">
                  <c:v>Easiest way for disposal </c:v>
                </c:pt>
                <c:pt idx="2">
                  <c:v>No need to use waste bins</c:v>
                </c:pt>
                <c:pt idx="3">
                  <c:v>Too lazy</c:v>
                </c:pt>
                <c:pt idx="4">
                  <c:v>Other</c:v>
                </c:pt>
              </c:strCache>
            </c:strRef>
          </c:cat>
          <c:val>
            <c:numRef>
              <c:f>'db2 pt'!$KF$454:$KJ$454</c:f>
              <c:numCache>
                <c:formatCode>0%</c:formatCode>
                <c:ptCount val="5"/>
                <c:pt idx="0">
                  <c:v>0.775862068965517</c:v>
                </c:pt>
                <c:pt idx="1">
                  <c:v>0.120689655172414</c:v>
                </c:pt>
                <c:pt idx="2">
                  <c:v>0.0574712643678161</c:v>
                </c:pt>
                <c:pt idx="3">
                  <c:v>0.0114942528735632</c:v>
                </c:pt>
                <c:pt idx="4">
                  <c:v>0.0344827586206896</c:v>
                </c:pt>
              </c:numCache>
            </c:numRef>
          </c:val>
        </c:ser>
        <c:dLbls>
          <c:showLegendKey val="0"/>
          <c:showVal val="0"/>
          <c:showCatName val="0"/>
          <c:showSerName val="0"/>
          <c:showPercent val="0"/>
          <c:showBubbleSize val="0"/>
        </c:dLbls>
        <c:gapWidth val="50"/>
        <c:axId val="2057041080"/>
        <c:axId val="2057060872"/>
      </c:barChart>
      <c:catAx>
        <c:axId val="2057041080"/>
        <c:scaling>
          <c:orientation val="minMax"/>
        </c:scaling>
        <c:delete val="0"/>
        <c:axPos val="b"/>
        <c:majorTickMark val="none"/>
        <c:minorTickMark val="none"/>
        <c:tickLblPos val="nextTo"/>
        <c:txPr>
          <a:bodyPr/>
          <a:lstStyle/>
          <a:p>
            <a:pPr>
              <a:defRPr sz="800">
                <a:latin typeface="+mj-lt"/>
              </a:defRPr>
            </a:pPr>
            <a:endParaRPr lang="en-US"/>
          </a:p>
        </c:txPr>
        <c:crossAx val="2057060872"/>
        <c:crosses val="autoZero"/>
        <c:auto val="1"/>
        <c:lblAlgn val="ctr"/>
        <c:lblOffset val="100"/>
        <c:noMultiLvlLbl val="0"/>
      </c:catAx>
      <c:valAx>
        <c:axId val="2057060872"/>
        <c:scaling>
          <c:orientation val="minMax"/>
          <c:max val="1.0"/>
        </c:scaling>
        <c:delete val="0"/>
        <c:axPos val="l"/>
        <c:majorGridlines/>
        <c:numFmt formatCode="0%" sourceLinked="1"/>
        <c:majorTickMark val="none"/>
        <c:minorTickMark val="none"/>
        <c:tickLblPos val="nextTo"/>
        <c:txPr>
          <a:bodyPr/>
          <a:lstStyle/>
          <a:p>
            <a:pPr>
              <a:defRPr sz="800"/>
            </a:pPr>
            <a:endParaRPr lang="en-US"/>
          </a:p>
        </c:txPr>
        <c:crossAx val="2057041080"/>
        <c:crosses val="autoZero"/>
        <c:crossBetween val="between"/>
        <c:majorUnit val="0.2"/>
      </c:valAx>
      <c:spPr>
        <a:ln>
          <a:solidFill>
            <a:schemeClr val="tx1"/>
          </a:solidFill>
        </a:ln>
      </c:spPr>
    </c:plotArea>
    <c:plotVisOnly val="1"/>
    <c:dispBlanksAs val="gap"/>
    <c:showDLblsOverMax val="0"/>
  </c:chart>
  <c:spPr>
    <a:ln>
      <a:no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Disposal of infant</a:t>
            </a:r>
            <a:r>
              <a:rPr lang="en-US" sz="1000" baseline="0">
                <a:latin typeface="+mj-lt"/>
              </a:rPr>
              <a:t> / child</a:t>
            </a:r>
            <a:r>
              <a:rPr lang="en-US" sz="1000">
                <a:latin typeface="+mj-lt"/>
              </a:rPr>
              <a:t> faeces (n=174)</a:t>
            </a:r>
          </a:p>
        </c:rich>
      </c:tx>
      <c:layout>
        <c:manualLayout>
          <c:xMode val="edge"/>
          <c:yMode val="edge"/>
          <c:x val="0.0306531605424322"/>
          <c:y val="0.0125970518220106"/>
        </c:manualLayout>
      </c:layout>
      <c:overlay val="0"/>
    </c:title>
    <c:autoTitleDeleted val="0"/>
    <c:plotArea>
      <c:layout/>
      <c:barChart>
        <c:barDir val="bar"/>
        <c:grouping val="clustered"/>
        <c:varyColors val="0"/>
        <c:ser>
          <c:idx val="2"/>
          <c:order val="0"/>
          <c:tx>
            <c:strRef>
              <c:f>'db2 pt'!$JS$528</c:f>
              <c:strCache>
                <c:ptCount val="1"/>
                <c:pt idx="0">
                  <c:v>TOTAL</c:v>
                </c:pt>
              </c:strCache>
            </c:strRef>
          </c:tx>
          <c:spPr>
            <a:solidFill>
              <a:srgbClr val="008000"/>
            </a:solidFill>
            <a:ln>
              <a:solidFill>
                <a:schemeClr val="tx1"/>
              </a:solidFill>
            </a:ln>
          </c:spPr>
          <c:invertIfNegative val="0"/>
          <c:dPt>
            <c:idx val="0"/>
            <c:invertIfNegative val="0"/>
            <c:bubble3D val="0"/>
            <c:spPr>
              <a:solidFill>
                <a:srgbClr val="FF0000"/>
              </a:solidFill>
              <a:ln>
                <a:solidFill>
                  <a:schemeClr val="tx1"/>
                </a:solidFill>
              </a:ln>
            </c:spPr>
          </c:dPt>
          <c:dPt>
            <c:idx val="6"/>
            <c:invertIfNegative val="0"/>
            <c:bubble3D val="0"/>
            <c:spPr>
              <a:solidFill>
                <a:srgbClr val="FF0000"/>
              </a:solidFill>
              <a:ln>
                <a:solidFill>
                  <a:schemeClr val="tx1"/>
                </a:solidFill>
              </a:ln>
            </c:spPr>
          </c:dPt>
          <c:dLbls>
            <c:txPr>
              <a:bodyPr/>
              <a:lstStyle/>
              <a:p>
                <a:pPr>
                  <a:defRPr sz="800" b="1"/>
                </a:pPr>
                <a:endParaRPr lang="en-US"/>
              </a:p>
            </c:txPr>
            <c:showLegendKey val="0"/>
            <c:showVal val="1"/>
            <c:showCatName val="0"/>
            <c:showSerName val="0"/>
            <c:showPercent val="0"/>
            <c:showBubbleSize val="0"/>
            <c:showLeaderLines val="0"/>
          </c:dLbls>
          <c:cat>
            <c:strRef>
              <c:f>'db2 pt'!$JT$525:$JZ$525</c:f>
              <c:strCache>
                <c:ptCount val="7"/>
                <c:pt idx="0">
                  <c:v>No Infants</c:v>
                </c:pt>
                <c:pt idx="1">
                  <c:v>Throw in fields </c:v>
                </c:pt>
                <c:pt idx="2">
                  <c:v>Throw in Latrine</c:v>
                </c:pt>
                <c:pt idx="3">
                  <c:v>Bury faeces</c:v>
                </c:pt>
                <c:pt idx="4">
                  <c:v>Throw in waste bins</c:v>
                </c:pt>
                <c:pt idx="5">
                  <c:v>Throw in Drainage</c:v>
                </c:pt>
                <c:pt idx="6">
                  <c:v>No answer</c:v>
                </c:pt>
              </c:strCache>
            </c:strRef>
          </c:cat>
          <c:val>
            <c:numRef>
              <c:f>'db2 pt'!$JT$528:$JZ$528</c:f>
              <c:numCache>
                <c:formatCode>0%</c:formatCode>
                <c:ptCount val="7"/>
                <c:pt idx="0">
                  <c:v>0.119158878504673</c:v>
                </c:pt>
                <c:pt idx="1">
                  <c:v>0.385514018691589</c:v>
                </c:pt>
                <c:pt idx="2">
                  <c:v>0.27803738317757</c:v>
                </c:pt>
                <c:pt idx="3">
                  <c:v>0.126168224299065</c:v>
                </c:pt>
                <c:pt idx="4">
                  <c:v>0.0350467289719626</c:v>
                </c:pt>
                <c:pt idx="5">
                  <c:v>0.0350467289719626</c:v>
                </c:pt>
                <c:pt idx="6">
                  <c:v>0.0420560747663551</c:v>
                </c:pt>
              </c:numCache>
            </c:numRef>
          </c:val>
        </c:ser>
        <c:dLbls>
          <c:showLegendKey val="0"/>
          <c:showVal val="0"/>
          <c:showCatName val="0"/>
          <c:showSerName val="0"/>
          <c:showPercent val="0"/>
          <c:showBubbleSize val="0"/>
        </c:dLbls>
        <c:gapWidth val="50"/>
        <c:axId val="2057105208"/>
        <c:axId val="2057108264"/>
      </c:barChart>
      <c:catAx>
        <c:axId val="2057105208"/>
        <c:scaling>
          <c:orientation val="maxMin"/>
        </c:scaling>
        <c:delete val="0"/>
        <c:axPos val="l"/>
        <c:majorTickMark val="out"/>
        <c:minorTickMark val="none"/>
        <c:tickLblPos val="nextTo"/>
        <c:txPr>
          <a:bodyPr/>
          <a:lstStyle/>
          <a:p>
            <a:pPr>
              <a:defRPr sz="900">
                <a:latin typeface="+mj-lt"/>
              </a:defRPr>
            </a:pPr>
            <a:endParaRPr lang="en-US"/>
          </a:p>
        </c:txPr>
        <c:crossAx val="2057108264"/>
        <c:crosses val="autoZero"/>
        <c:auto val="1"/>
        <c:lblAlgn val="ctr"/>
        <c:lblOffset val="100"/>
        <c:noMultiLvlLbl val="0"/>
      </c:catAx>
      <c:valAx>
        <c:axId val="2057108264"/>
        <c:scaling>
          <c:orientation val="minMax"/>
        </c:scaling>
        <c:delete val="0"/>
        <c:axPos val="t"/>
        <c:majorGridlines/>
        <c:numFmt formatCode="0%" sourceLinked="1"/>
        <c:majorTickMark val="out"/>
        <c:minorTickMark val="none"/>
        <c:tickLblPos val="nextTo"/>
        <c:txPr>
          <a:bodyPr/>
          <a:lstStyle/>
          <a:p>
            <a:pPr>
              <a:defRPr sz="800"/>
            </a:pPr>
            <a:endParaRPr lang="en-US"/>
          </a:p>
        </c:txPr>
        <c:crossAx val="2057105208"/>
        <c:crosses val="autoZero"/>
        <c:crossBetween val="between"/>
        <c:majorUnit val="0.15"/>
      </c:valAx>
      <c:spPr>
        <a:ln>
          <a:solidFill>
            <a:schemeClr val="tx1"/>
          </a:solidFill>
        </a:ln>
      </c:spPr>
    </c:plotArea>
    <c:plotVisOnly val="1"/>
    <c:dispBlanksAs val="gap"/>
    <c:showDLblsOverMax val="0"/>
  </c:chart>
  <c:spPr>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000"/>
              <a:t>Reasons that Solid Waste is a Problem</a:t>
            </a:r>
          </a:p>
        </c:rich>
      </c:tx>
      <c:layout>
        <c:manualLayout>
          <c:xMode val="edge"/>
          <c:yMode val="edge"/>
          <c:x val="0.0269192913385827"/>
          <c:y val="0.0462962962962963"/>
        </c:manualLayout>
      </c:layout>
      <c:overlay val="0"/>
    </c:title>
    <c:autoTitleDeleted val="0"/>
    <c:plotArea>
      <c:layout/>
      <c:barChart>
        <c:barDir val="bar"/>
        <c:grouping val="clustered"/>
        <c:varyColors val="0"/>
        <c:ser>
          <c:idx val="2"/>
          <c:order val="0"/>
          <c:tx>
            <c:strRef>
              <c:f>Database!$LV$460</c:f>
              <c:strCache>
                <c:ptCount val="1"/>
                <c:pt idx="0">
                  <c:v>TOTAL</c:v>
                </c:pt>
              </c:strCache>
            </c:strRef>
          </c:tx>
          <c:spPr>
            <a:solidFill>
              <a:srgbClr val="008000"/>
            </a:solidFill>
            <a:ln>
              <a:solidFill>
                <a:schemeClr val="tx1"/>
              </a:solidFill>
            </a:ln>
          </c:spPr>
          <c:invertIfNegative val="0"/>
          <c:dPt>
            <c:idx val="0"/>
            <c:invertIfNegative val="0"/>
            <c:bubble3D val="0"/>
            <c:spPr>
              <a:solidFill>
                <a:srgbClr val="FF0000"/>
              </a:solidFill>
              <a:ln>
                <a:solidFill>
                  <a:schemeClr val="tx1"/>
                </a:solidFill>
              </a:ln>
            </c:spPr>
          </c:dPt>
          <c:dPt>
            <c:idx val="1"/>
            <c:invertIfNegative val="0"/>
            <c:bubble3D val="0"/>
            <c:spPr>
              <a:solidFill>
                <a:srgbClr val="FF0000"/>
              </a:solidFill>
              <a:ln>
                <a:solidFill>
                  <a:schemeClr val="tx1"/>
                </a:solidFill>
              </a:ln>
            </c:spPr>
          </c:dPt>
          <c:dLbls>
            <c:txPr>
              <a:bodyPr/>
              <a:lstStyle/>
              <a:p>
                <a:pPr>
                  <a:defRPr sz="800"/>
                </a:pPr>
                <a:endParaRPr lang="en-US"/>
              </a:p>
            </c:txPr>
            <c:showLegendKey val="0"/>
            <c:showVal val="1"/>
            <c:showCatName val="0"/>
            <c:showSerName val="0"/>
            <c:showPercent val="0"/>
            <c:showBubbleSize val="0"/>
            <c:showLeaderLines val="0"/>
          </c:dLbls>
          <c:cat>
            <c:strRef>
              <c:f>Database!$LW$457:$ME$457</c:f>
              <c:strCache>
                <c:ptCount val="9"/>
                <c:pt idx="0">
                  <c:v>Solid Waste is Not a Problem</c:v>
                </c:pt>
                <c:pt idx="1">
                  <c:v>No answer</c:v>
                </c:pt>
                <c:pt idx="2">
                  <c:v>Encourages rodents etc</c:v>
                </c:pt>
                <c:pt idx="3">
                  <c:v>Looks Bad</c:v>
                </c:pt>
                <c:pt idx="4">
                  <c:v>Smells Bad</c:v>
                </c:pt>
                <c:pt idx="5">
                  <c:v>Encourages Vectors</c:v>
                </c:pt>
                <c:pt idx="6">
                  <c:v>Encouages insects</c:v>
                </c:pt>
                <c:pt idx="7">
                  <c:v>Causes disputes between HHs</c:v>
                </c:pt>
                <c:pt idx="8">
                  <c:v>Other</c:v>
                </c:pt>
              </c:strCache>
            </c:strRef>
          </c:cat>
          <c:val>
            <c:numRef>
              <c:f>Database!$LW$460:$ME$460</c:f>
              <c:numCache>
                <c:formatCode>0%</c:formatCode>
                <c:ptCount val="9"/>
                <c:pt idx="0">
                  <c:v>0.483644859813084</c:v>
                </c:pt>
                <c:pt idx="1">
                  <c:v>0.184579439252336</c:v>
                </c:pt>
                <c:pt idx="2">
                  <c:v>0.0981308411214953</c:v>
                </c:pt>
                <c:pt idx="3">
                  <c:v>0.0864485981308411</c:v>
                </c:pt>
                <c:pt idx="4">
                  <c:v>0.0630841121495327</c:v>
                </c:pt>
                <c:pt idx="5">
                  <c:v>0.0537383177570093</c:v>
                </c:pt>
                <c:pt idx="6">
                  <c:v>0.0467289719626168</c:v>
                </c:pt>
                <c:pt idx="7">
                  <c:v>0.0327102803738318</c:v>
                </c:pt>
                <c:pt idx="8">
                  <c:v>0.014018691588785</c:v>
                </c:pt>
              </c:numCache>
            </c:numRef>
          </c:val>
        </c:ser>
        <c:dLbls>
          <c:showLegendKey val="0"/>
          <c:showVal val="0"/>
          <c:showCatName val="0"/>
          <c:showSerName val="0"/>
          <c:showPercent val="0"/>
          <c:showBubbleSize val="0"/>
        </c:dLbls>
        <c:gapWidth val="50"/>
        <c:axId val="2057140120"/>
        <c:axId val="2057143128"/>
      </c:barChart>
      <c:catAx>
        <c:axId val="2057140120"/>
        <c:scaling>
          <c:orientation val="maxMin"/>
        </c:scaling>
        <c:delete val="0"/>
        <c:axPos val="l"/>
        <c:majorTickMark val="none"/>
        <c:minorTickMark val="none"/>
        <c:tickLblPos val="nextTo"/>
        <c:txPr>
          <a:bodyPr/>
          <a:lstStyle/>
          <a:p>
            <a:pPr>
              <a:defRPr sz="900"/>
            </a:pPr>
            <a:endParaRPr lang="en-US"/>
          </a:p>
        </c:txPr>
        <c:crossAx val="2057143128"/>
        <c:crosses val="autoZero"/>
        <c:auto val="1"/>
        <c:lblAlgn val="ctr"/>
        <c:lblOffset val="100"/>
        <c:noMultiLvlLbl val="0"/>
      </c:catAx>
      <c:valAx>
        <c:axId val="2057143128"/>
        <c:scaling>
          <c:orientation val="minMax"/>
          <c:max val="0.5"/>
        </c:scaling>
        <c:delete val="0"/>
        <c:axPos val="t"/>
        <c:majorGridlines/>
        <c:numFmt formatCode="0%" sourceLinked="1"/>
        <c:majorTickMark val="none"/>
        <c:minorTickMark val="none"/>
        <c:tickLblPos val="nextTo"/>
        <c:txPr>
          <a:bodyPr/>
          <a:lstStyle/>
          <a:p>
            <a:pPr>
              <a:defRPr sz="800"/>
            </a:pPr>
            <a:endParaRPr lang="en-US"/>
          </a:p>
        </c:txPr>
        <c:crossAx val="2057140120"/>
        <c:crosses val="autoZero"/>
        <c:crossBetween val="between"/>
        <c:majorUnit val="0.1"/>
      </c:valAx>
      <c:spPr>
        <a:ln>
          <a:solidFill>
            <a:schemeClr val="tx1"/>
          </a:solidFill>
        </a:ln>
      </c:spPr>
    </c:plotArea>
    <c:plotVisOnly val="1"/>
    <c:dispBlanksAs val="gap"/>
    <c:showDLblsOverMax val="0"/>
  </c:chart>
  <c:spPr>
    <a:ln>
      <a:no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Usual</a:t>
            </a:r>
            <a:r>
              <a:rPr lang="en-US" sz="1000" baseline="0">
                <a:latin typeface="+mj-lt"/>
              </a:rPr>
              <a:t> Waste Disposal Location</a:t>
            </a:r>
            <a:endParaRPr lang="en-US" sz="1000">
              <a:latin typeface="+mj-lt"/>
            </a:endParaRPr>
          </a:p>
        </c:rich>
      </c:tx>
      <c:layout>
        <c:manualLayout>
          <c:xMode val="edge"/>
          <c:yMode val="edge"/>
          <c:x val="0.0342298775153106"/>
          <c:y val="0.037037037037037"/>
        </c:manualLayout>
      </c:layout>
      <c:overlay val="0"/>
    </c:title>
    <c:autoTitleDeleted val="0"/>
    <c:plotArea>
      <c:layout>
        <c:manualLayout>
          <c:layoutTarget val="inner"/>
          <c:xMode val="edge"/>
          <c:yMode val="edge"/>
          <c:x val="0.383861608883048"/>
          <c:y val="0.233470034995626"/>
          <c:w val="0.541085489313836"/>
          <c:h val="0.706344779819189"/>
        </c:manualLayout>
      </c:layout>
      <c:barChart>
        <c:barDir val="bar"/>
        <c:grouping val="clustered"/>
        <c:varyColors val="0"/>
        <c:ser>
          <c:idx val="0"/>
          <c:order val="0"/>
          <c:tx>
            <c:strRef>
              <c:f>'db2 pt'!$LW$457</c:f>
              <c:strCache>
                <c:ptCount val="1"/>
                <c:pt idx="0">
                  <c:v>IDP Camp</c:v>
                </c:pt>
              </c:strCache>
            </c:strRef>
          </c:tx>
          <c:spPr>
            <a:solidFill>
              <a:srgbClr val="FFFF00"/>
            </a:solidFill>
            <a:ln>
              <a:solidFill>
                <a:schemeClr val="tx1"/>
              </a:solidFill>
            </a:ln>
          </c:spPr>
          <c:invertIfNegative val="0"/>
          <c:dLbls>
            <c:dLbl>
              <c:idx val="5"/>
              <c:delete val="1"/>
            </c:dLbl>
            <c:dLbl>
              <c:idx val="6"/>
              <c:delete val="1"/>
            </c:dLbl>
            <c:txPr>
              <a:bodyPr/>
              <a:lstStyle/>
              <a:p>
                <a:pPr>
                  <a:defRPr sz="800" b="1"/>
                </a:pPr>
                <a:endParaRPr lang="en-US"/>
              </a:p>
            </c:txPr>
            <c:showLegendKey val="0"/>
            <c:showVal val="1"/>
            <c:showCatName val="0"/>
            <c:showSerName val="0"/>
            <c:showPercent val="0"/>
            <c:showBubbleSize val="0"/>
            <c:showLeaderLines val="0"/>
          </c:dLbls>
          <c:cat>
            <c:strRef>
              <c:f>'db2 pt'!$LX$456:$MD$456</c:f>
              <c:strCache>
                <c:ptCount val="7"/>
                <c:pt idx="0">
                  <c:v>No Answer</c:v>
                </c:pt>
                <c:pt idx="1">
                  <c:v>Waste Collection Point</c:v>
                </c:pt>
                <c:pt idx="2">
                  <c:v>Burn it</c:v>
                </c:pt>
                <c:pt idx="3">
                  <c:v>Dump in field</c:v>
                </c:pt>
                <c:pt idx="4">
                  <c:v>Collected from HH</c:v>
                </c:pt>
                <c:pt idx="5">
                  <c:v>Bury it</c:v>
                </c:pt>
                <c:pt idx="6">
                  <c:v>In Drainage Channel </c:v>
                </c:pt>
              </c:strCache>
            </c:strRef>
          </c:cat>
          <c:val>
            <c:numRef>
              <c:f>'db2 pt'!$LX$457:$MD$457</c:f>
              <c:numCache>
                <c:formatCode>0%</c:formatCode>
                <c:ptCount val="7"/>
                <c:pt idx="0">
                  <c:v>0.109090909090909</c:v>
                </c:pt>
                <c:pt idx="1">
                  <c:v>0.577272727272727</c:v>
                </c:pt>
                <c:pt idx="2">
                  <c:v>0.0636363636363636</c:v>
                </c:pt>
                <c:pt idx="3">
                  <c:v>0.0590909090909091</c:v>
                </c:pt>
                <c:pt idx="4">
                  <c:v>0.131818181818182</c:v>
                </c:pt>
                <c:pt idx="5">
                  <c:v>0.0136363636363636</c:v>
                </c:pt>
                <c:pt idx="6">
                  <c:v>0.0136363636363636</c:v>
                </c:pt>
              </c:numCache>
            </c:numRef>
          </c:val>
        </c:ser>
        <c:ser>
          <c:idx val="1"/>
          <c:order val="1"/>
          <c:tx>
            <c:strRef>
              <c:f>'db2 pt'!$LW$458</c:f>
              <c:strCache>
                <c:ptCount val="1"/>
                <c:pt idx="0">
                  <c:v>Village</c:v>
                </c:pt>
              </c:strCache>
            </c:strRef>
          </c:tx>
          <c:spPr>
            <a:solidFill>
              <a:schemeClr val="tx2"/>
            </a:solidFill>
            <a:ln>
              <a:solidFill>
                <a:schemeClr val="tx1"/>
              </a:solidFill>
            </a:ln>
          </c:spPr>
          <c:invertIfNegative val="0"/>
          <c:dLbls>
            <c:dLbl>
              <c:idx val="4"/>
              <c:delete val="1"/>
            </c:dLbl>
            <c:dLbl>
              <c:idx val="6"/>
              <c:delete val="1"/>
            </c:dLbl>
            <c:txPr>
              <a:bodyPr/>
              <a:lstStyle/>
              <a:p>
                <a:pPr>
                  <a:defRPr sz="800"/>
                </a:pPr>
                <a:endParaRPr lang="en-US"/>
              </a:p>
            </c:txPr>
            <c:showLegendKey val="0"/>
            <c:showVal val="1"/>
            <c:showCatName val="0"/>
            <c:showSerName val="0"/>
            <c:showPercent val="0"/>
            <c:showBubbleSize val="0"/>
            <c:showLeaderLines val="0"/>
          </c:dLbls>
          <c:cat>
            <c:strRef>
              <c:f>'db2 pt'!$LX$456:$MD$456</c:f>
              <c:strCache>
                <c:ptCount val="7"/>
                <c:pt idx="0">
                  <c:v>No Answer</c:v>
                </c:pt>
                <c:pt idx="1">
                  <c:v>Waste Collection Point</c:v>
                </c:pt>
                <c:pt idx="2">
                  <c:v>Burn it</c:v>
                </c:pt>
                <c:pt idx="3">
                  <c:v>Dump in field</c:v>
                </c:pt>
                <c:pt idx="4">
                  <c:v>Collected from HH</c:v>
                </c:pt>
                <c:pt idx="5">
                  <c:v>Bury it</c:v>
                </c:pt>
                <c:pt idx="6">
                  <c:v>In Drainage Channel </c:v>
                </c:pt>
              </c:strCache>
            </c:strRef>
          </c:cat>
          <c:val>
            <c:numRef>
              <c:f>'db2 pt'!$LX$458:$MD$458</c:f>
              <c:numCache>
                <c:formatCode>0%</c:formatCode>
                <c:ptCount val="7"/>
                <c:pt idx="0">
                  <c:v>0.0769230769230769</c:v>
                </c:pt>
                <c:pt idx="1">
                  <c:v>0.139423076923077</c:v>
                </c:pt>
                <c:pt idx="2">
                  <c:v>0.461538461538462</c:v>
                </c:pt>
                <c:pt idx="3">
                  <c:v>0.211538461538462</c:v>
                </c:pt>
                <c:pt idx="4">
                  <c:v>0.0384615384615385</c:v>
                </c:pt>
                <c:pt idx="5">
                  <c:v>0.0480769230769231</c:v>
                </c:pt>
                <c:pt idx="6">
                  <c:v>0.0192307692307692</c:v>
                </c:pt>
              </c:numCache>
            </c:numRef>
          </c:val>
        </c:ser>
        <c:dLbls>
          <c:showLegendKey val="0"/>
          <c:showVal val="0"/>
          <c:showCatName val="0"/>
          <c:showSerName val="0"/>
          <c:showPercent val="0"/>
          <c:showBubbleSize val="0"/>
        </c:dLbls>
        <c:gapWidth val="50"/>
        <c:axId val="2100943160"/>
        <c:axId val="2100949016"/>
      </c:barChart>
      <c:catAx>
        <c:axId val="2100943160"/>
        <c:scaling>
          <c:orientation val="maxMin"/>
        </c:scaling>
        <c:delete val="0"/>
        <c:axPos val="l"/>
        <c:majorTickMark val="none"/>
        <c:minorTickMark val="none"/>
        <c:tickLblPos val="nextTo"/>
        <c:txPr>
          <a:bodyPr/>
          <a:lstStyle/>
          <a:p>
            <a:pPr>
              <a:defRPr sz="900"/>
            </a:pPr>
            <a:endParaRPr lang="en-US"/>
          </a:p>
        </c:txPr>
        <c:crossAx val="2100949016"/>
        <c:crosses val="autoZero"/>
        <c:auto val="1"/>
        <c:lblAlgn val="ctr"/>
        <c:lblOffset val="100"/>
        <c:noMultiLvlLbl val="0"/>
      </c:catAx>
      <c:valAx>
        <c:axId val="2100949016"/>
        <c:scaling>
          <c:orientation val="minMax"/>
        </c:scaling>
        <c:delete val="0"/>
        <c:axPos val="t"/>
        <c:majorGridlines/>
        <c:numFmt formatCode="0%" sourceLinked="1"/>
        <c:majorTickMark val="none"/>
        <c:minorTickMark val="none"/>
        <c:tickLblPos val="nextTo"/>
        <c:txPr>
          <a:bodyPr/>
          <a:lstStyle/>
          <a:p>
            <a:pPr>
              <a:defRPr sz="800"/>
            </a:pPr>
            <a:endParaRPr lang="en-US"/>
          </a:p>
        </c:txPr>
        <c:crossAx val="2100943160"/>
        <c:crosses val="autoZero"/>
        <c:crossBetween val="between"/>
      </c:valAx>
      <c:spPr>
        <a:ln>
          <a:solidFill>
            <a:schemeClr val="tx1"/>
          </a:solidFill>
        </a:ln>
      </c:spPr>
    </c:plotArea>
    <c:legend>
      <c:legendPos val="t"/>
      <c:layout>
        <c:manualLayout>
          <c:xMode val="edge"/>
          <c:yMode val="edge"/>
          <c:x val="0.578335597901747"/>
          <c:y val="0.0324074074074074"/>
          <c:w val="0.375373375357783"/>
          <c:h val="0.0929764508603091"/>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mj-lt"/>
              </a:defRPr>
            </a:pPr>
            <a:r>
              <a:rPr lang="en-US" sz="1000">
                <a:latin typeface="+mj-lt"/>
              </a:rPr>
              <a:t>FEMALE</a:t>
            </a:r>
          </a:p>
        </c:rich>
      </c:tx>
      <c:layout>
        <c:manualLayout>
          <c:xMode val="edge"/>
          <c:yMode val="edge"/>
          <c:x val="0.0470325991859713"/>
          <c:y val="0.116691567400229"/>
        </c:manualLayout>
      </c:layout>
      <c:overlay val="0"/>
    </c:title>
    <c:autoTitleDeleted val="0"/>
    <c:plotArea>
      <c:layout>
        <c:manualLayout>
          <c:layoutTarget val="inner"/>
          <c:xMode val="edge"/>
          <c:yMode val="edge"/>
          <c:x val="0.040673665791776"/>
          <c:y val="0.229442425466047"/>
          <c:w val="0.883055555555556"/>
          <c:h val="0.680883639545057"/>
        </c:manualLayout>
      </c:layout>
      <c:barChart>
        <c:barDir val="bar"/>
        <c:grouping val="clustered"/>
        <c:varyColors val="0"/>
        <c:ser>
          <c:idx val="0"/>
          <c:order val="0"/>
          <c:tx>
            <c:strRef>
              <c:f>'db2 pt'!$MI$479</c:f>
              <c:strCache>
                <c:ptCount val="1"/>
                <c:pt idx="0">
                  <c:v>IDP Camp</c:v>
                </c:pt>
              </c:strCache>
            </c:strRef>
          </c:tx>
          <c:spPr>
            <a:solidFill>
              <a:srgbClr val="FFFF00"/>
            </a:solidFill>
            <a:ln>
              <a:solidFill>
                <a:schemeClr val="tx1"/>
              </a:solidFill>
            </a:ln>
          </c:spPr>
          <c:invertIfNegative val="0"/>
          <c:dLbls>
            <c:txPr>
              <a:bodyPr/>
              <a:lstStyle/>
              <a:p>
                <a:pPr>
                  <a:defRPr sz="800">
                    <a:latin typeface="+mj-lt"/>
                  </a:defRPr>
                </a:pPr>
                <a:endParaRPr lang="en-US"/>
              </a:p>
            </c:txPr>
            <c:showLegendKey val="0"/>
            <c:showVal val="1"/>
            <c:showCatName val="0"/>
            <c:showSerName val="0"/>
            <c:showPercent val="0"/>
            <c:showBubbleSize val="0"/>
            <c:showLeaderLines val="0"/>
          </c:dLbls>
          <c:cat>
            <c:strRef>
              <c:f>'db2 pt'!$MH$480:$MH$483</c:f>
              <c:strCache>
                <c:ptCount val="4"/>
                <c:pt idx="0">
                  <c:v>No Family Member_x000d_/ No Answer</c:v>
                </c:pt>
                <c:pt idx="1">
                  <c:v>In the Home</c:v>
                </c:pt>
                <c:pt idx="2">
                  <c:v>In the Compound</c:v>
                </c:pt>
                <c:pt idx="3">
                  <c:v>At the Water Point</c:v>
                </c:pt>
              </c:strCache>
            </c:strRef>
          </c:cat>
          <c:val>
            <c:numRef>
              <c:f>'db2 pt'!$MI$480:$MI$483</c:f>
              <c:numCache>
                <c:formatCode>0%</c:formatCode>
                <c:ptCount val="4"/>
                <c:pt idx="0">
                  <c:v>0.272727272727273</c:v>
                </c:pt>
                <c:pt idx="1">
                  <c:v>0.686363636363636</c:v>
                </c:pt>
                <c:pt idx="2">
                  <c:v>0.0272727272727273</c:v>
                </c:pt>
                <c:pt idx="3">
                  <c:v>0.0136363636363636</c:v>
                </c:pt>
              </c:numCache>
            </c:numRef>
          </c:val>
        </c:ser>
        <c:ser>
          <c:idx val="1"/>
          <c:order val="1"/>
          <c:tx>
            <c:strRef>
              <c:f>'db2 pt'!$MJ$479</c:f>
              <c:strCache>
                <c:ptCount val="1"/>
                <c:pt idx="0">
                  <c:v>Village</c:v>
                </c:pt>
              </c:strCache>
            </c:strRef>
          </c:tx>
          <c:spPr>
            <a:solidFill>
              <a:schemeClr val="tx2"/>
            </a:solidFill>
            <a:ln>
              <a:solidFill>
                <a:schemeClr val="tx1"/>
              </a:solidFill>
            </a:ln>
          </c:spPr>
          <c:invertIfNegative val="0"/>
          <c:dLbls>
            <c:txPr>
              <a:bodyPr/>
              <a:lstStyle/>
              <a:p>
                <a:pPr>
                  <a:defRPr sz="800">
                    <a:latin typeface="+mj-lt"/>
                  </a:defRPr>
                </a:pPr>
                <a:endParaRPr lang="en-US"/>
              </a:p>
            </c:txPr>
            <c:showLegendKey val="0"/>
            <c:showVal val="1"/>
            <c:showCatName val="0"/>
            <c:showSerName val="0"/>
            <c:showPercent val="0"/>
            <c:showBubbleSize val="0"/>
            <c:showLeaderLines val="0"/>
          </c:dLbls>
          <c:cat>
            <c:strRef>
              <c:f>'db2 pt'!$MH$480:$MH$483</c:f>
              <c:strCache>
                <c:ptCount val="4"/>
                <c:pt idx="0">
                  <c:v>No Family Member_x000d_/ No Answer</c:v>
                </c:pt>
                <c:pt idx="1">
                  <c:v>In the Home</c:v>
                </c:pt>
                <c:pt idx="2">
                  <c:v>In the Compound</c:v>
                </c:pt>
                <c:pt idx="3">
                  <c:v>At the Water Point</c:v>
                </c:pt>
              </c:strCache>
            </c:strRef>
          </c:cat>
          <c:val>
            <c:numRef>
              <c:f>'db2 pt'!$MJ$480:$MJ$483</c:f>
              <c:numCache>
                <c:formatCode>0%</c:formatCode>
                <c:ptCount val="4"/>
                <c:pt idx="0">
                  <c:v>0.475961538461538</c:v>
                </c:pt>
                <c:pt idx="1">
                  <c:v>0.432692307692308</c:v>
                </c:pt>
                <c:pt idx="2">
                  <c:v>0.0673076923076923</c:v>
                </c:pt>
                <c:pt idx="3">
                  <c:v>0.0240384615384615</c:v>
                </c:pt>
              </c:numCache>
            </c:numRef>
          </c:val>
        </c:ser>
        <c:ser>
          <c:idx val="2"/>
          <c:order val="2"/>
          <c:tx>
            <c:strRef>
              <c:f>'db2 pt'!$MK$479</c:f>
              <c:strCache>
                <c:ptCount val="1"/>
                <c:pt idx="0">
                  <c:v>TOTAL</c:v>
                </c:pt>
              </c:strCache>
            </c:strRef>
          </c:tx>
          <c:spPr>
            <a:solidFill>
              <a:srgbClr val="008000"/>
            </a:solidFill>
            <a:ln>
              <a:solidFill>
                <a:schemeClr val="tx1"/>
              </a:solidFill>
            </a:ln>
          </c:spPr>
          <c:invertIfNegative val="0"/>
          <c:dLbls>
            <c:txPr>
              <a:bodyPr/>
              <a:lstStyle/>
              <a:p>
                <a:pPr>
                  <a:defRPr sz="800" b="1">
                    <a:latin typeface="+mj-lt"/>
                  </a:defRPr>
                </a:pPr>
                <a:endParaRPr lang="en-US"/>
              </a:p>
            </c:txPr>
            <c:showLegendKey val="0"/>
            <c:showVal val="1"/>
            <c:showCatName val="0"/>
            <c:showSerName val="0"/>
            <c:showPercent val="0"/>
            <c:showBubbleSize val="0"/>
            <c:showLeaderLines val="0"/>
          </c:dLbls>
          <c:cat>
            <c:strRef>
              <c:f>'db2 pt'!$MH$480:$MH$483</c:f>
              <c:strCache>
                <c:ptCount val="4"/>
                <c:pt idx="0">
                  <c:v>No Family Member_x000d_/ No Answer</c:v>
                </c:pt>
                <c:pt idx="1">
                  <c:v>In the Home</c:v>
                </c:pt>
                <c:pt idx="2">
                  <c:v>In the Compound</c:v>
                </c:pt>
                <c:pt idx="3">
                  <c:v>At the Water Point</c:v>
                </c:pt>
              </c:strCache>
            </c:strRef>
          </c:cat>
          <c:val>
            <c:numRef>
              <c:f>'db2 pt'!$MK$480:$MK$483</c:f>
              <c:numCache>
                <c:formatCode>0%</c:formatCode>
                <c:ptCount val="4"/>
                <c:pt idx="0">
                  <c:v>0.371495327102804</c:v>
                </c:pt>
                <c:pt idx="1">
                  <c:v>0.563084112149533</c:v>
                </c:pt>
                <c:pt idx="2">
                  <c:v>0.0467289719626168</c:v>
                </c:pt>
                <c:pt idx="3">
                  <c:v>0.0186915887850467</c:v>
                </c:pt>
              </c:numCache>
            </c:numRef>
          </c:val>
        </c:ser>
        <c:dLbls>
          <c:showLegendKey val="0"/>
          <c:showVal val="0"/>
          <c:showCatName val="0"/>
          <c:showSerName val="0"/>
          <c:showPercent val="0"/>
          <c:showBubbleSize val="0"/>
        </c:dLbls>
        <c:gapWidth val="100"/>
        <c:axId val="2101014728"/>
        <c:axId val="2101018024"/>
      </c:barChart>
      <c:catAx>
        <c:axId val="2101014728"/>
        <c:scaling>
          <c:orientation val="minMax"/>
        </c:scaling>
        <c:delete val="1"/>
        <c:axPos val="l"/>
        <c:majorTickMark val="none"/>
        <c:minorTickMark val="none"/>
        <c:tickLblPos val="nextTo"/>
        <c:crossAx val="2101018024"/>
        <c:crosses val="autoZero"/>
        <c:auto val="1"/>
        <c:lblAlgn val="ctr"/>
        <c:lblOffset val="100"/>
        <c:noMultiLvlLbl val="0"/>
      </c:catAx>
      <c:valAx>
        <c:axId val="2101018024"/>
        <c:scaling>
          <c:orientation val="minMax"/>
          <c:max val="0.7"/>
        </c:scaling>
        <c:delete val="0"/>
        <c:axPos val="b"/>
        <c:majorGridlines/>
        <c:numFmt formatCode="0%" sourceLinked="1"/>
        <c:majorTickMark val="none"/>
        <c:minorTickMark val="none"/>
        <c:tickLblPos val="nextTo"/>
        <c:txPr>
          <a:bodyPr/>
          <a:lstStyle/>
          <a:p>
            <a:pPr>
              <a:defRPr sz="800"/>
            </a:pPr>
            <a:endParaRPr lang="en-US"/>
          </a:p>
        </c:txPr>
        <c:crossAx val="2101014728"/>
        <c:crosses val="autoZero"/>
        <c:crossBetween val="between"/>
      </c:valAx>
      <c:spPr>
        <a:ln>
          <a:solidFill>
            <a:schemeClr val="tx1"/>
          </a:solidFill>
        </a:ln>
      </c:spPr>
    </c:plotArea>
    <c:legend>
      <c:legendPos val="t"/>
      <c:layout>
        <c:manualLayout>
          <c:xMode val="edge"/>
          <c:yMode val="edge"/>
          <c:x val="0.0803168625660923"/>
          <c:y val="0.00296924422908675"/>
          <c:w val="0.774485906652973"/>
          <c:h val="0.0827646544181977"/>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sz="1000">
                <a:latin typeface="+mj-lt"/>
              </a:defRPr>
            </a:pPr>
            <a:r>
              <a:rPr lang="en-US" sz="1000">
                <a:latin typeface="+mj-lt"/>
              </a:rPr>
              <a:t>Bathing</a:t>
            </a:r>
            <a:r>
              <a:rPr lang="en-US" sz="1000" baseline="0">
                <a:latin typeface="+mj-lt"/>
              </a:rPr>
              <a:t> Location                     MALE</a:t>
            </a:r>
          </a:p>
        </c:rich>
      </c:tx>
      <c:layout>
        <c:manualLayout>
          <c:xMode val="edge"/>
          <c:yMode val="edge"/>
          <c:x val="0.0967186733334891"/>
          <c:y val="0.0806904971106079"/>
        </c:manualLayout>
      </c:layout>
      <c:overlay val="0"/>
    </c:title>
    <c:autoTitleDeleted val="0"/>
    <c:plotArea>
      <c:layout/>
      <c:barChart>
        <c:barDir val="bar"/>
        <c:grouping val="clustered"/>
        <c:varyColors val="0"/>
        <c:ser>
          <c:idx val="0"/>
          <c:order val="0"/>
          <c:tx>
            <c:strRef>
              <c:f>'db2 pt'!$MI$473</c:f>
              <c:strCache>
                <c:ptCount val="1"/>
                <c:pt idx="0">
                  <c:v>IDP Camp</c:v>
                </c:pt>
              </c:strCache>
            </c:strRef>
          </c:tx>
          <c:spPr>
            <a:solidFill>
              <a:srgbClr val="FFFF00"/>
            </a:solidFill>
            <a:ln>
              <a:solidFill>
                <a:schemeClr val="tx1"/>
              </a:solidFill>
            </a:ln>
          </c:spPr>
          <c:invertIfNegative val="0"/>
          <c:dLbls>
            <c:txPr>
              <a:bodyPr/>
              <a:lstStyle/>
              <a:p>
                <a:pPr>
                  <a:defRPr sz="800">
                    <a:latin typeface="+mj-lt"/>
                  </a:defRPr>
                </a:pPr>
                <a:endParaRPr lang="en-US"/>
              </a:p>
            </c:txPr>
            <c:showLegendKey val="0"/>
            <c:showVal val="1"/>
            <c:showCatName val="0"/>
            <c:showSerName val="0"/>
            <c:showPercent val="0"/>
            <c:showBubbleSize val="0"/>
            <c:showLeaderLines val="0"/>
          </c:dLbls>
          <c:cat>
            <c:strRef>
              <c:f>'db2 pt'!$MH$474:$MH$477</c:f>
              <c:strCache>
                <c:ptCount val="4"/>
                <c:pt idx="0">
                  <c:v>No Family Member_x000d_/ No Answer</c:v>
                </c:pt>
                <c:pt idx="1">
                  <c:v>In the Home</c:v>
                </c:pt>
                <c:pt idx="2">
                  <c:v>In the Compound</c:v>
                </c:pt>
                <c:pt idx="3">
                  <c:v>At the Water Point</c:v>
                </c:pt>
              </c:strCache>
            </c:strRef>
          </c:cat>
          <c:val>
            <c:numRef>
              <c:f>'db2 pt'!$MI$474:$MI$477</c:f>
              <c:numCache>
                <c:formatCode>0%</c:formatCode>
                <c:ptCount val="4"/>
                <c:pt idx="0">
                  <c:v>0.204545454545455</c:v>
                </c:pt>
                <c:pt idx="1">
                  <c:v>0.159090909090909</c:v>
                </c:pt>
                <c:pt idx="2">
                  <c:v>0.118181818181818</c:v>
                </c:pt>
                <c:pt idx="3">
                  <c:v>0.518181818181818</c:v>
                </c:pt>
              </c:numCache>
            </c:numRef>
          </c:val>
        </c:ser>
        <c:ser>
          <c:idx val="1"/>
          <c:order val="1"/>
          <c:tx>
            <c:strRef>
              <c:f>'db2 pt'!$MJ$473</c:f>
              <c:strCache>
                <c:ptCount val="1"/>
                <c:pt idx="0">
                  <c:v>Village</c:v>
                </c:pt>
              </c:strCache>
            </c:strRef>
          </c:tx>
          <c:spPr>
            <a:solidFill>
              <a:schemeClr val="tx2"/>
            </a:solidFill>
            <a:ln>
              <a:solidFill>
                <a:schemeClr val="tx1"/>
              </a:solidFill>
            </a:ln>
          </c:spPr>
          <c:invertIfNegative val="0"/>
          <c:dLbls>
            <c:txPr>
              <a:bodyPr/>
              <a:lstStyle/>
              <a:p>
                <a:pPr>
                  <a:defRPr sz="800">
                    <a:latin typeface="+mj-lt"/>
                  </a:defRPr>
                </a:pPr>
                <a:endParaRPr lang="en-US"/>
              </a:p>
            </c:txPr>
            <c:showLegendKey val="0"/>
            <c:showVal val="1"/>
            <c:showCatName val="0"/>
            <c:showSerName val="0"/>
            <c:showPercent val="0"/>
            <c:showBubbleSize val="0"/>
            <c:showLeaderLines val="0"/>
          </c:dLbls>
          <c:cat>
            <c:strRef>
              <c:f>'db2 pt'!$MH$474:$MH$477</c:f>
              <c:strCache>
                <c:ptCount val="4"/>
                <c:pt idx="0">
                  <c:v>No Family Member_x000d_/ No Answer</c:v>
                </c:pt>
                <c:pt idx="1">
                  <c:v>In the Home</c:v>
                </c:pt>
                <c:pt idx="2">
                  <c:v>In the Compound</c:v>
                </c:pt>
                <c:pt idx="3">
                  <c:v>At the Water Point</c:v>
                </c:pt>
              </c:strCache>
            </c:strRef>
          </c:cat>
          <c:val>
            <c:numRef>
              <c:f>'db2 pt'!$MJ$474:$MJ$477</c:f>
              <c:numCache>
                <c:formatCode>0%</c:formatCode>
                <c:ptCount val="4"/>
                <c:pt idx="0">
                  <c:v>0.322115384615385</c:v>
                </c:pt>
                <c:pt idx="1">
                  <c:v>0.120192307692308</c:v>
                </c:pt>
                <c:pt idx="2">
                  <c:v>0.192307692307692</c:v>
                </c:pt>
                <c:pt idx="3">
                  <c:v>0.365384615384615</c:v>
                </c:pt>
              </c:numCache>
            </c:numRef>
          </c:val>
        </c:ser>
        <c:ser>
          <c:idx val="2"/>
          <c:order val="2"/>
          <c:tx>
            <c:strRef>
              <c:f>'db2 pt'!$MK$473</c:f>
              <c:strCache>
                <c:ptCount val="1"/>
                <c:pt idx="0">
                  <c:v>TOTAL</c:v>
                </c:pt>
              </c:strCache>
            </c:strRef>
          </c:tx>
          <c:spPr>
            <a:solidFill>
              <a:srgbClr val="008000"/>
            </a:solidFill>
            <a:ln>
              <a:solidFill>
                <a:schemeClr val="tx1"/>
              </a:solidFill>
            </a:ln>
          </c:spPr>
          <c:invertIfNegative val="0"/>
          <c:dLbls>
            <c:txPr>
              <a:bodyPr/>
              <a:lstStyle/>
              <a:p>
                <a:pPr>
                  <a:defRPr sz="800" b="1">
                    <a:latin typeface="+mj-lt"/>
                  </a:defRPr>
                </a:pPr>
                <a:endParaRPr lang="en-US"/>
              </a:p>
            </c:txPr>
            <c:showLegendKey val="0"/>
            <c:showVal val="1"/>
            <c:showCatName val="0"/>
            <c:showSerName val="0"/>
            <c:showPercent val="0"/>
            <c:showBubbleSize val="0"/>
            <c:showLeaderLines val="0"/>
          </c:dLbls>
          <c:cat>
            <c:strRef>
              <c:f>'db2 pt'!$MH$474:$MH$477</c:f>
              <c:strCache>
                <c:ptCount val="4"/>
                <c:pt idx="0">
                  <c:v>No Family Member_x000d_/ No Answer</c:v>
                </c:pt>
                <c:pt idx="1">
                  <c:v>In the Home</c:v>
                </c:pt>
                <c:pt idx="2">
                  <c:v>In the Compound</c:v>
                </c:pt>
                <c:pt idx="3">
                  <c:v>At the Water Point</c:v>
                </c:pt>
              </c:strCache>
            </c:strRef>
          </c:cat>
          <c:val>
            <c:numRef>
              <c:f>'db2 pt'!$MK$474:$MK$477</c:f>
              <c:numCache>
                <c:formatCode>0%</c:formatCode>
                <c:ptCount val="4"/>
                <c:pt idx="0">
                  <c:v>0.261682242990654</c:v>
                </c:pt>
                <c:pt idx="1">
                  <c:v>0.14018691588785</c:v>
                </c:pt>
                <c:pt idx="2">
                  <c:v>0.154205607476635</c:v>
                </c:pt>
                <c:pt idx="3">
                  <c:v>0.44392523364486</c:v>
                </c:pt>
              </c:numCache>
            </c:numRef>
          </c:val>
        </c:ser>
        <c:dLbls>
          <c:showLegendKey val="0"/>
          <c:showVal val="0"/>
          <c:showCatName val="0"/>
          <c:showSerName val="0"/>
          <c:showPercent val="0"/>
          <c:showBubbleSize val="0"/>
        </c:dLbls>
        <c:gapWidth val="100"/>
        <c:axId val="2099229032"/>
        <c:axId val="2101057352"/>
      </c:barChart>
      <c:catAx>
        <c:axId val="2099229032"/>
        <c:scaling>
          <c:orientation val="minMax"/>
        </c:scaling>
        <c:delete val="0"/>
        <c:axPos val="r"/>
        <c:majorTickMark val="none"/>
        <c:minorTickMark val="none"/>
        <c:tickLblPos val="nextTo"/>
        <c:txPr>
          <a:bodyPr/>
          <a:lstStyle/>
          <a:p>
            <a:pPr algn="l">
              <a:defRPr>
                <a:latin typeface="+mj-lt"/>
              </a:defRPr>
            </a:pPr>
            <a:endParaRPr lang="en-US"/>
          </a:p>
        </c:txPr>
        <c:crossAx val="2101057352"/>
        <c:crosses val="autoZero"/>
        <c:auto val="1"/>
        <c:lblAlgn val="ctr"/>
        <c:lblOffset val="100"/>
        <c:noMultiLvlLbl val="0"/>
      </c:catAx>
      <c:valAx>
        <c:axId val="2101057352"/>
        <c:scaling>
          <c:orientation val="maxMin"/>
        </c:scaling>
        <c:delete val="0"/>
        <c:axPos val="b"/>
        <c:majorGridlines/>
        <c:numFmt formatCode="0%" sourceLinked="1"/>
        <c:majorTickMark val="none"/>
        <c:minorTickMark val="none"/>
        <c:tickLblPos val="nextTo"/>
        <c:txPr>
          <a:bodyPr/>
          <a:lstStyle/>
          <a:p>
            <a:pPr>
              <a:defRPr sz="800"/>
            </a:pPr>
            <a:endParaRPr lang="en-US"/>
          </a:p>
        </c:txPr>
        <c:crossAx val="2099229032"/>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000"/>
              <a:t>Gender of Respondent</a:t>
            </a:r>
          </a:p>
        </c:rich>
      </c:tx>
      <c:layout>
        <c:manualLayout>
          <c:xMode val="edge"/>
          <c:yMode val="edge"/>
          <c:x val="0.242419094821269"/>
          <c:y val="0.0509259259259259"/>
        </c:manualLayout>
      </c:layout>
      <c:overlay val="0"/>
    </c:title>
    <c:autoTitleDeleted val="0"/>
    <c:plotArea>
      <c:layout/>
      <c:pieChart>
        <c:varyColors val="1"/>
        <c:ser>
          <c:idx val="1"/>
          <c:order val="0"/>
          <c:tx>
            <c:strRef>
              <c:f>'db2 pt'!$P$433</c:f>
              <c:strCache>
                <c:ptCount val="1"/>
                <c:pt idx="0">
                  <c:v>%</c:v>
                </c:pt>
              </c:strCache>
            </c:strRef>
          </c:tx>
          <c:spPr>
            <a:solidFill>
              <a:schemeClr val="accent5">
                <a:lumMod val="60000"/>
                <a:lumOff val="40000"/>
              </a:schemeClr>
            </a:solidFill>
          </c:spPr>
          <c:dPt>
            <c:idx val="0"/>
            <c:bubble3D val="0"/>
            <c:spPr>
              <a:solidFill>
                <a:schemeClr val="accent5">
                  <a:lumMod val="60000"/>
                  <a:lumOff val="40000"/>
                </a:schemeClr>
              </a:solidFill>
              <a:ln>
                <a:solidFill>
                  <a:schemeClr val="tx1"/>
                </a:solidFill>
              </a:ln>
            </c:spPr>
          </c:dPt>
          <c:dPt>
            <c:idx val="1"/>
            <c:bubble3D val="0"/>
            <c:spPr>
              <a:solidFill>
                <a:schemeClr val="accent2">
                  <a:lumMod val="40000"/>
                  <a:lumOff val="60000"/>
                </a:schemeClr>
              </a:solidFill>
              <a:ln>
                <a:solidFill>
                  <a:schemeClr val="tx1"/>
                </a:solidFill>
              </a:ln>
            </c:spPr>
          </c:dPt>
          <c:dLbls>
            <c:dLbl>
              <c:idx val="0"/>
              <c:layout>
                <c:manualLayout>
                  <c:x val="-0.11624432098272"/>
                  <c:y val="0.171030912802566"/>
                </c:manualLayout>
              </c:layout>
              <c:showLegendKey val="0"/>
              <c:showVal val="0"/>
              <c:showCatName val="1"/>
              <c:showSerName val="0"/>
              <c:showPercent val="1"/>
              <c:showBubbleSize val="0"/>
            </c:dLbl>
            <c:dLbl>
              <c:idx val="1"/>
              <c:layout>
                <c:manualLayout>
                  <c:x val="0.106959377539736"/>
                  <c:y val="-0.365474992709245"/>
                </c:manualLayout>
              </c:layout>
              <c:showLegendKey val="0"/>
              <c:showVal val="0"/>
              <c:showCatName val="1"/>
              <c:showSerName val="0"/>
              <c:showPercent val="1"/>
              <c:showBubbleSize val="0"/>
            </c:dLbl>
            <c:txPr>
              <a:bodyPr/>
              <a:lstStyle/>
              <a:p>
                <a:pPr>
                  <a:defRPr sz="800" b="1"/>
                </a:pPr>
                <a:endParaRPr lang="en-US"/>
              </a:p>
            </c:txPr>
            <c:showLegendKey val="0"/>
            <c:showVal val="0"/>
            <c:showCatName val="1"/>
            <c:showSerName val="0"/>
            <c:showPercent val="1"/>
            <c:showBubbleSize val="0"/>
            <c:showLeaderLines val="1"/>
          </c:dLbls>
          <c:cat>
            <c:strRef>
              <c:f>'db2 pt'!$N$434:$N$435</c:f>
              <c:strCache>
                <c:ptCount val="2"/>
                <c:pt idx="0">
                  <c:v>Male</c:v>
                </c:pt>
                <c:pt idx="1">
                  <c:v>Female</c:v>
                </c:pt>
              </c:strCache>
            </c:strRef>
          </c:cat>
          <c:val>
            <c:numRef>
              <c:f>'db2 pt'!$P$434:$P$435</c:f>
              <c:numCache>
                <c:formatCode>0%</c:formatCode>
                <c:ptCount val="2"/>
                <c:pt idx="0">
                  <c:v>0.133177570093458</c:v>
                </c:pt>
                <c:pt idx="1">
                  <c:v>0.768691588785047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latin typeface="+mj-lt"/>
              </a:defRPr>
            </a:pPr>
            <a:r>
              <a:rPr lang="en-US" sz="1000">
                <a:latin typeface="+mj-lt"/>
              </a:rPr>
              <a:t>Reasons for NOT building</a:t>
            </a:r>
          </a:p>
          <a:p>
            <a:pPr algn="l">
              <a:defRPr>
                <a:latin typeface="+mj-lt"/>
              </a:defRPr>
            </a:pPr>
            <a:r>
              <a:rPr lang="en-US" sz="1000">
                <a:latin typeface="+mj-lt"/>
              </a:rPr>
              <a:t> a Private Bathing Area</a:t>
            </a:r>
          </a:p>
        </c:rich>
      </c:tx>
      <c:layout>
        <c:manualLayout>
          <c:xMode val="edge"/>
          <c:yMode val="edge"/>
          <c:x val="0.0"/>
          <c:y val="0.0288882855160346"/>
        </c:manualLayout>
      </c:layout>
      <c:overlay val="0"/>
    </c:title>
    <c:autoTitleDeleted val="0"/>
    <c:plotArea>
      <c:layout>
        <c:manualLayout>
          <c:layoutTarget val="inner"/>
          <c:xMode val="edge"/>
          <c:yMode val="edge"/>
          <c:x val="0.375801149376666"/>
          <c:y val="0.278733822065345"/>
          <c:w val="0.564768764994168"/>
          <c:h val="0.671457748815881"/>
        </c:manualLayout>
      </c:layout>
      <c:barChart>
        <c:barDir val="bar"/>
        <c:grouping val="clustered"/>
        <c:varyColors val="0"/>
        <c:ser>
          <c:idx val="0"/>
          <c:order val="0"/>
          <c:tx>
            <c:strRef>
              <c:f>'Macintosh HD:Users:user:Desktop:[For PT - KAP Survey (Tue).xlsx]db2 pt'!$MR$498</c:f>
              <c:strCache>
                <c:ptCount val="1"/>
                <c:pt idx="0">
                  <c:v>IDP Camp</c:v>
                </c:pt>
              </c:strCache>
            </c:strRef>
          </c:tx>
          <c:spPr>
            <a:solidFill>
              <a:srgbClr val="FFFF00"/>
            </a:solidFill>
            <a:ln>
              <a:solidFill>
                <a:schemeClr val="tx1"/>
              </a:solidFill>
            </a:ln>
          </c:spPr>
          <c:invertIfNegative val="0"/>
          <c:cat>
            <c:strRef>
              <c:f>'Macintosh HD:Users:user:Desktop:[For PT - KAP Survey (Tue).xlsx]db2 pt'!$MS$497:$MY$497</c:f>
              <c:strCache>
                <c:ptCount val="7"/>
                <c:pt idx="0">
                  <c:v>Have a Private Bathing _x000d_Area inside home</c:v>
                </c:pt>
                <c:pt idx="1">
                  <c:v>No Answer</c:v>
                </c:pt>
                <c:pt idx="2">
                  <c:v>Can't afford one</c:v>
                </c:pt>
                <c:pt idx="3">
                  <c:v>Not enough space</c:v>
                </c:pt>
                <c:pt idx="4">
                  <c:v>No skills available</c:v>
                </c:pt>
                <c:pt idx="5">
                  <c:v>No materials available</c:v>
                </c:pt>
                <c:pt idx="6">
                  <c:v>OTHER</c:v>
                </c:pt>
              </c:strCache>
            </c:strRef>
          </c:cat>
          <c:val>
            <c:numRef>
              <c:f>'Macintosh HD:Users:user:Desktop:[For PT - KAP Survey (Tue).xlsx]db2 pt'!$MS$498:$MY$498</c:f>
              <c:numCache>
                <c:formatCode>0%</c:formatCode>
                <c:ptCount val="7"/>
                <c:pt idx="0">
                  <c:v>0.327272727272727</c:v>
                </c:pt>
                <c:pt idx="1">
                  <c:v>0.190909090909091</c:v>
                </c:pt>
                <c:pt idx="2">
                  <c:v>0.254545454545454</c:v>
                </c:pt>
                <c:pt idx="3">
                  <c:v>0.109090909090909</c:v>
                </c:pt>
                <c:pt idx="4">
                  <c:v>0.0818181818181818</c:v>
                </c:pt>
                <c:pt idx="5">
                  <c:v>0.0363636363636364</c:v>
                </c:pt>
                <c:pt idx="6">
                  <c:v>0.05</c:v>
                </c:pt>
              </c:numCache>
            </c:numRef>
          </c:val>
        </c:ser>
        <c:ser>
          <c:idx val="1"/>
          <c:order val="1"/>
          <c:tx>
            <c:strRef>
              <c:f>'Macintosh HD:Users:user:Desktop:[For PT - KAP Survey (Tue).xlsx]db2 pt'!$MR$499</c:f>
              <c:strCache>
                <c:ptCount val="1"/>
                <c:pt idx="0">
                  <c:v>Village</c:v>
                </c:pt>
              </c:strCache>
            </c:strRef>
          </c:tx>
          <c:spPr>
            <a:solidFill>
              <a:schemeClr val="tx2"/>
            </a:solidFill>
            <a:ln>
              <a:solidFill>
                <a:schemeClr val="tx1"/>
              </a:solidFill>
            </a:ln>
          </c:spPr>
          <c:invertIfNegative val="0"/>
          <c:cat>
            <c:strRef>
              <c:f>'Macintosh HD:Users:user:Desktop:[For PT - KAP Survey (Tue).xlsx]db2 pt'!$MS$497:$MY$497</c:f>
              <c:strCache>
                <c:ptCount val="7"/>
                <c:pt idx="0">
                  <c:v>Have a Private Bathing _x000d_Area inside home</c:v>
                </c:pt>
                <c:pt idx="1">
                  <c:v>No Answer</c:v>
                </c:pt>
                <c:pt idx="2">
                  <c:v>Can't afford one</c:v>
                </c:pt>
                <c:pt idx="3">
                  <c:v>Not enough space</c:v>
                </c:pt>
                <c:pt idx="4">
                  <c:v>No skills available</c:v>
                </c:pt>
                <c:pt idx="5">
                  <c:v>No materials available</c:v>
                </c:pt>
                <c:pt idx="6">
                  <c:v>OTHER</c:v>
                </c:pt>
              </c:strCache>
            </c:strRef>
          </c:cat>
          <c:val>
            <c:numRef>
              <c:f>'Macintosh HD:Users:user:Desktop:[For PT - KAP Survey (Tue).xlsx]db2 pt'!$MS$499:$MY$499</c:f>
              <c:numCache>
                <c:formatCode>0%</c:formatCode>
                <c:ptCount val="7"/>
                <c:pt idx="0">
                  <c:v>0.365384615384615</c:v>
                </c:pt>
                <c:pt idx="1">
                  <c:v>0.129807692307692</c:v>
                </c:pt>
                <c:pt idx="2">
                  <c:v>0.442307692307692</c:v>
                </c:pt>
                <c:pt idx="3">
                  <c:v>0.0288461538461538</c:v>
                </c:pt>
                <c:pt idx="4">
                  <c:v>0.0480769230769231</c:v>
                </c:pt>
                <c:pt idx="5">
                  <c:v>0.0625</c:v>
                </c:pt>
                <c:pt idx="6">
                  <c:v>0.0288461538461538</c:v>
                </c:pt>
              </c:numCache>
            </c:numRef>
          </c:val>
        </c:ser>
        <c:dLbls>
          <c:showLegendKey val="0"/>
          <c:showVal val="0"/>
          <c:showCatName val="0"/>
          <c:showSerName val="0"/>
          <c:showPercent val="0"/>
          <c:showBubbleSize val="0"/>
        </c:dLbls>
        <c:gapWidth val="50"/>
        <c:axId val="2094843448"/>
        <c:axId val="2094846504"/>
      </c:barChart>
      <c:catAx>
        <c:axId val="2094843448"/>
        <c:scaling>
          <c:orientation val="maxMin"/>
        </c:scaling>
        <c:delete val="0"/>
        <c:axPos val="l"/>
        <c:majorTickMark val="none"/>
        <c:minorTickMark val="none"/>
        <c:tickLblPos val="nextTo"/>
        <c:txPr>
          <a:bodyPr/>
          <a:lstStyle/>
          <a:p>
            <a:pPr>
              <a:defRPr sz="900">
                <a:latin typeface="+mj-lt"/>
              </a:defRPr>
            </a:pPr>
            <a:endParaRPr lang="en-US"/>
          </a:p>
        </c:txPr>
        <c:crossAx val="2094846504"/>
        <c:crosses val="autoZero"/>
        <c:auto val="1"/>
        <c:lblAlgn val="ctr"/>
        <c:lblOffset val="100"/>
        <c:noMultiLvlLbl val="0"/>
      </c:catAx>
      <c:valAx>
        <c:axId val="2094846504"/>
        <c:scaling>
          <c:orientation val="minMax"/>
        </c:scaling>
        <c:delete val="0"/>
        <c:axPos val="t"/>
        <c:majorGridlines/>
        <c:numFmt formatCode="0%" sourceLinked="1"/>
        <c:majorTickMark val="none"/>
        <c:minorTickMark val="none"/>
        <c:tickLblPos val="nextTo"/>
        <c:txPr>
          <a:bodyPr/>
          <a:lstStyle/>
          <a:p>
            <a:pPr>
              <a:defRPr sz="800"/>
            </a:pPr>
            <a:endParaRPr lang="en-US"/>
          </a:p>
        </c:txPr>
        <c:crossAx val="2094843448"/>
        <c:crosses val="autoZero"/>
        <c:crossBetween val="between"/>
        <c:majorUnit val="0.1"/>
      </c:valAx>
      <c:spPr>
        <a:ln>
          <a:solidFill>
            <a:schemeClr val="tx1"/>
          </a:solidFill>
        </a:ln>
      </c:spPr>
    </c:plotArea>
    <c:legend>
      <c:legendPos val="t"/>
      <c:layout>
        <c:manualLayout>
          <c:xMode val="edge"/>
          <c:yMode val="edge"/>
          <c:x val="0.618412268271661"/>
          <c:y val="0.0245023682384529"/>
          <c:w val="0.294876640419947"/>
          <c:h val="0.138248710290524"/>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latin typeface="+mj-lt"/>
              </a:defRPr>
            </a:pPr>
            <a:r>
              <a:rPr lang="en-US" sz="1000">
                <a:latin typeface="+mj-lt"/>
              </a:rPr>
              <a:t>Reasons for building</a:t>
            </a:r>
            <a:r>
              <a:rPr lang="en-US" sz="1000" baseline="0">
                <a:latin typeface="+mj-lt"/>
              </a:rPr>
              <a:t> </a:t>
            </a:r>
          </a:p>
          <a:p>
            <a:pPr algn="l">
              <a:defRPr>
                <a:latin typeface="+mj-lt"/>
              </a:defRPr>
            </a:pPr>
            <a:r>
              <a:rPr lang="en-US" sz="1000" baseline="0">
                <a:latin typeface="+mj-lt"/>
              </a:rPr>
              <a:t>a Private Bathing Area</a:t>
            </a:r>
            <a:endParaRPr lang="en-US" sz="1000">
              <a:latin typeface="+mj-lt"/>
            </a:endParaRPr>
          </a:p>
        </c:rich>
      </c:tx>
      <c:layout>
        <c:manualLayout>
          <c:xMode val="edge"/>
          <c:yMode val="edge"/>
          <c:x val="0.042338145231846"/>
          <c:y val="0.037037037037037"/>
        </c:manualLayout>
      </c:layout>
      <c:overlay val="0"/>
    </c:title>
    <c:autoTitleDeleted val="0"/>
    <c:plotArea>
      <c:layout>
        <c:manualLayout>
          <c:layoutTarget val="inner"/>
          <c:xMode val="edge"/>
          <c:yMode val="edge"/>
          <c:x val="0.418738655283352"/>
          <c:y val="0.262392096821231"/>
          <c:w val="0.523173265901381"/>
          <c:h val="0.677422717993584"/>
        </c:manualLayout>
      </c:layout>
      <c:barChart>
        <c:barDir val="bar"/>
        <c:grouping val="clustered"/>
        <c:varyColors val="0"/>
        <c:ser>
          <c:idx val="2"/>
          <c:order val="0"/>
          <c:tx>
            <c:strRef>
              <c:f>'db2 pt'!$MH$458</c:f>
              <c:strCache>
                <c:ptCount val="1"/>
                <c:pt idx="0">
                  <c:v>TOTAL</c:v>
                </c:pt>
              </c:strCache>
            </c:strRef>
          </c:tx>
          <c:spPr>
            <a:solidFill>
              <a:srgbClr val="008000"/>
            </a:solidFill>
            <a:ln>
              <a:solidFill>
                <a:schemeClr val="tx1"/>
              </a:solidFill>
            </a:ln>
          </c:spPr>
          <c:invertIfNegative val="0"/>
          <c:dPt>
            <c:idx val="0"/>
            <c:invertIfNegative val="0"/>
            <c:bubble3D val="0"/>
            <c:spPr>
              <a:solidFill>
                <a:srgbClr val="FF0000"/>
              </a:solidFill>
              <a:ln>
                <a:solidFill>
                  <a:schemeClr val="tx1"/>
                </a:solidFill>
              </a:ln>
            </c:spPr>
          </c:dPt>
          <c:dLbls>
            <c:txPr>
              <a:bodyPr/>
              <a:lstStyle/>
              <a:p>
                <a:pPr>
                  <a:defRPr sz="800" b="1"/>
                </a:pPr>
                <a:endParaRPr lang="en-US"/>
              </a:p>
            </c:txPr>
            <c:showLegendKey val="0"/>
            <c:showVal val="1"/>
            <c:showCatName val="0"/>
            <c:showSerName val="0"/>
            <c:showPercent val="0"/>
            <c:showBubbleSize val="0"/>
            <c:showLeaderLines val="0"/>
          </c:dLbls>
          <c:cat>
            <c:strRef>
              <c:f>'db2 pt'!$MI$455:$MN$455</c:f>
              <c:strCache>
                <c:ptCount val="6"/>
                <c:pt idx="0">
                  <c:v>No Private Bathing Area</c:v>
                </c:pt>
                <c:pt idx="1">
                  <c:v>Women need privacy</c:v>
                </c:pt>
                <c:pt idx="2">
                  <c:v>Women must bathe in HH</c:v>
                </c:pt>
                <c:pt idx="3">
                  <c:v>All HH should have one</c:v>
                </c:pt>
                <c:pt idx="4">
                  <c:v>Convenience</c:v>
                </c:pt>
                <c:pt idx="5">
                  <c:v>Other</c:v>
                </c:pt>
              </c:strCache>
            </c:strRef>
          </c:cat>
          <c:val>
            <c:numRef>
              <c:f>'db2 pt'!$MI$458:$MN$458</c:f>
              <c:numCache>
                <c:formatCode>0%</c:formatCode>
                <c:ptCount val="6"/>
                <c:pt idx="0">
                  <c:v>0.654205607476635</c:v>
                </c:pt>
                <c:pt idx="1">
                  <c:v>0.308411214953271</c:v>
                </c:pt>
                <c:pt idx="2">
                  <c:v>0.0771028037383177</c:v>
                </c:pt>
                <c:pt idx="3">
                  <c:v>0.044392523364486</c:v>
                </c:pt>
                <c:pt idx="4">
                  <c:v>0.00934579439252336</c:v>
                </c:pt>
                <c:pt idx="5">
                  <c:v>0.00934579439252336</c:v>
                </c:pt>
              </c:numCache>
            </c:numRef>
          </c:val>
        </c:ser>
        <c:dLbls>
          <c:showLegendKey val="0"/>
          <c:showVal val="0"/>
          <c:showCatName val="0"/>
          <c:showSerName val="0"/>
          <c:showPercent val="0"/>
          <c:showBubbleSize val="0"/>
        </c:dLbls>
        <c:gapWidth val="50"/>
        <c:axId val="2094875720"/>
        <c:axId val="2094878776"/>
      </c:barChart>
      <c:catAx>
        <c:axId val="2094875720"/>
        <c:scaling>
          <c:orientation val="maxMin"/>
        </c:scaling>
        <c:delete val="0"/>
        <c:axPos val="l"/>
        <c:majorTickMark val="none"/>
        <c:minorTickMark val="none"/>
        <c:tickLblPos val="nextTo"/>
        <c:txPr>
          <a:bodyPr/>
          <a:lstStyle/>
          <a:p>
            <a:pPr>
              <a:defRPr sz="900">
                <a:latin typeface="+mj-lt"/>
              </a:defRPr>
            </a:pPr>
            <a:endParaRPr lang="en-US"/>
          </a:p>
        </c:txPr>
        <c:crossAx val="2094878776"/>
        <c:crosses val="autoZero"/>
        <c:auto val="1"/>
        <c:lblAlgn val="ctr"/>
        <c:lblOffset val="100"/>
        <c:noMultiLvlLbl val="0"/>
      </c:catAx>
      <c:valAx>
        <c:axId val="2094878776"/>
        <c:scaling>
          <c:orientation val="minMax"/>
        </c:scaling>
        <c:delete val="0"/>
        <c:axPos val="t"/>
        <c:majorGridlines/>
        <c:numFmt formatCode="0%" sourceLinked="1"/>
        <c:majorTickMark val="none"/>
        <c:minorTickMark val="none"/>
        <c:tickLblPos val="nextTo"/>
        <c:txPr>
          <a:bodyPr/>
          <a:lstStyle/>
          <a:p>
            <a:pPr>
              <a:defRPr sz="800">
                <a:latin typeface="+mj-lt"/>
              </a:defRPr>
            </a:pPr>
            <a:endParaRPr lang="en-US"/>
          </a:p>
        </c:txPr>
        <c:crossAx val="2094875720"/>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mj-lt"/>
              </a:defRPr>
            </a:pPr>
            <a:r>
              <a:rPr lang="en-US" sz="1000" baseline="0">
                <a:latin typeface="+mj-lt"/>
              </a:rPr>
              <a:t>Today (2015)</a:t>
            </a:r>
            <a:endParaRPr lang="en-US" sz="1000">
              <a:latin typeface="+mj-lt"/>
            </a:endParaRPr>
          </a:p>
        </c:rich>
      </c:tx>
      <c:layout>
        <c:manualLayout>
          <c:xMode val="edge"/>
          <c:yMode val="edge"/>
          <c:x val="0.220023325644033"/>
          <c:y val="0.154833540544274"/>
        </c:manualLayout>
      </c:layout>
      <c:overlay val="0"/>
    </c:title>
    <c:autoTitleDeleted val="0"/>
    <c:plotArea>
      <c:layout>
        <c:manualLayout>
          <c:layoutTarget val="inner"/>
          <c:xMode val="edge"/>
          <c:yMode val="edge"/>
          <c:x val="0.219879956699357"/>
          <c:y val="0.420604595478197"/>
          <c:w val="0.684119553590989"/>
          <c:h val="0.52050882089106"/>
        </c:manualLayout>
      </c:layout>
      <c:barChart>
        <c:barDir val="bar"/>
        <c:grouping val="stacked"/>
        <c:varyColors val="0"/>
        <c:ser>
          <c:idx val="0"/>
          <c:order val="0"/>
          <c:tx>
            <c:strRef>
              <c:f>Location!$MX$462</c:f>
              <c:strCache>
                <c:ptCount val="1"/>
                <c:pt idx="0">
                  <c:v>Sanitary Napkin</c:v>
                </c:pt>
              </c:strCache>
            </c:strRef>
          </c:tx>
          <c:spPr>
            <a:solidFill>
              <a:srgbClr val="66FF66"/>
            </a:solidFill>
            <a:ln>
              <a:solidFill>
                <a:schemeClr val="tx1"/>
              </a:solidFill>
            </a:ln>
          </c:spPr>
          <c:invertIfNegative val="0"/>
          <c:dLbls>
            <c:dLbl>
              <c:idx val="0"/>
              <c:layout>
                <c:manualLayout>
                  <c:x val="-0.192884067683029"/>
                  <c:y val="-0.00584795321637427"/>
                </c:manualLayout>
              </c:layout>
              <c:dLblPos val="ctr"/>
              <c:showLegendKey val="0"/>
              <c:showVal val="1"/>
              <c:showCatName val="0"/>
              <c:showSerName val="0"/>
              <c:showPercent val="0"/>
              <c:showBubbleSize val="0"/>
            </c:dLbl>
            <c:dLbl>
              <c:idx val="1"/>
              <c:layout>
                <c:manualLayout>
                  <c:x val="-0.0336311326468807"/>
                  <c:y val="-0.00584795321637427"/>
                </c:manualLayout>
              </c:layout>
              <c:dLblPos val="ctr"/>
              <c:showLegendKey val="0"/>
              <c:showVal val="1"/>
              <c:showCatName val="0"/>
              <c:showSerName val="0"/>
              <c:showPercent val="0"/>
              <c:showBubbleSize val="0"/>
            </c:dLbl>
            <c:txPr>
              <a:bodyPr/>
              <a:lstStyle/>
              <a:p>
                <a:pPr>
                  <a:defRPr sz="800" b="1">
                    <a:latin typeface="+mj-lt"/>
                  </a:defRPr>
                </a:pPr>
                <a:endParaRPr lang="en-US"/>
              </a:p>
            </c:txPr>
            <c:dLblPos val="inEnd"/>
            <c:showLegendKey val="0"/>
            <c:showVal val="1"/>
            <c:showCatName val="0"/>
            <c:showSerName val="0"/>
            <c:showPercent val="0"/>
            <c:showBubbleSize val="0"/>
            <c:showLeaderLines val="0"/>
          </c:dLbls>
          <c:cat>
            <c:strRef>
              <c:f>Location!$MY$461:$MZ$461</c:f>
              <c:strCache>
                <c:ptCount val="2"/>
                <c:pt idx="0">
                  <c:v>IDP Camp</c:v>
                </c:pt>
                <c:pt idx="1">
                  <c:v>Village</c:v>
                </c:pt>
              </c:strCache>
            </c:strRef>
          </c:cat>
          <c:val>
            <c:numRef>
              <c:f>Location!$MY$462:$MZ$462</c:f>
              <c:numCache>
                <c:formatCode>0%</c:formatCode>
                <c:ptCount val="2"/>
                <c:pt idx="0">
                  <c:v>0.909090909090909</c:v>
                </c:pt>
                <c:pt idx="1">
                  <c:v>0.451923076923077</c:v>
                </c:pt>
              </c:numCache>
            </c:numRef>
          </c:val>
        </c:ser>
        <c:ser>
          <c:idx val="1"/>
          <c:order val="1"/>
          <c:tx>
            <c:strRef>
              <c:f>Location!$MX$463</c:f>
              <c:strCache>
                <c:ptCount val="1"/>
                <c:pt idx="0">
                  <c:v>Traditional Cloth</c:v>
                </c:pt>
              </c:strCache>
            </c:strRef>
          </c:tx>
          <c:spPr>
            <a:solidFill>
              <a:schemeClr val="accent4">
                <a:lumMod val="75000"/>
              </a:schemeClr>
            </a:solidFill>
            <a:ln>
              <a:solidFill>
                <a:schemeClr val="tx1"/>
              </a:solidFill>
            </a:ln>
          </c:spPr>
          <c:invertIfNegative val="0"/>
          <c:cat>
            <c:strRef>
              <c:f>Location!$MY$461:$MZ$461</c:f>
              <c:strCache>
                <c:ptCount val="2"/>
                <c:pt idx="0">
                  <c:v>IDP Camp</c:v>
                </c:pt>
                <c:pt idx="1">
                  <c:v>Village</c:v>
                </c:pt>
              </c:strCache>
            </c:strRef>
          </c:cat>
          <c:val>
            <c:numRef>
              <c:f>Location!$MY$463:$MZ$463</c:f>
              <c:numCache>
                <c:formatCode>0%</c:formatCode>
                <c:ptCount val="2"/>
                <c:pt idx="0">
                  <c:v>0.0863636363636363</c:v>
                </c:pt>
                <c:pt idx="1">
                  <c:v>0.528846153846154</c:v>
                </c:pt>
              </c:numCache>
            </c:numRef>
          </c:val>
        </c:ser>
        <c:dLbls>
          <c:showLegendKey val="0"/>
          <c:showVal val="0"/>
          <c:showCatName val="0"/>
          <c:showSerName val="0"/>
          <c:showPercent val="0"/>
          <c:showBubbleSize val="0"/>
        </c:dLbls>
        <c:gapWidth val="55"/>
        <c:overlap val="100"/>
        <c:axId val="2094915624"/>
        <c:axId val="2094918680"/>
      </c:barChart>
      <c:catAx>
        <c:axId val="2094915624"/>
        <c:scaling>
          <c:orientation val="maxMin"/>
        </c:scaling>
        <c:delete val="0"/>
        <c:axPos val="l"/>
        <c:majorTickMark val="none"/>
        <c:minorTickMark val="none"/>
        <c:tickLblPos val="nextTo"/>
        <c:txPr>
          <a:bodyPr/>
          <a:lstStyle/>
          <a:p>
            <a:pPr>
              <a:defRPr>
                <a:latin typeface="+mj-lt"/>
              </a:defRPr>
            </a:pPr>
            <a:endParaRPr lang="en-US"/>
          </a:p>
        </c:txPr>
        <c:crossAx val="2094918680"/>
        <c:crosses val="autoZero"/>
        <c:auto val="1"/>
        <c:lblAlgn val="ctr"/>
        <c:lblOffset val="100"/>
        <c:noMultiLvlLbl val="0"/>
      </c:catAx>
      <c:valAx>
        <c:axId val="2094918680"/>
        <c:scaling>
          <c:orientation val="minMax"/>
          <c:max val="1.0"/>
        </c:scaling>
        <c:delete val="0"/>
        <c:axPos val="t"/>
        <c:majorGridlines/>
        <c:numFmt formatCode="0%" sourceLinked="1"/>
        <c:majorTickMark val="none"/>
        <c:minorTickMark val="none"/>
        <c:tickLblPos val="nextTo"/>
        <c:txPr>
          <a:bodyPr/>
          <a:lstStyle/>
          <a:p>
            <a:pPr>
              <a:defRPr sz="800"/>
            </a:pPr>
            <a:endParaRPr lang="en-US"/>
          </a:p>
        </c:txPr>
        <c:crossAx val="2094915624"/>
        <c:crosses val="autoZero"/>
        <c:crossBetween val="between"/>
      </c:valAx>
      <c:spPr>
        <a:ln>
          <a:solidFill>
            <a:schemeClr val="tx1"/>
          </a:solidFill>
        </a:ln>
      </c:spPr>
    </c:plotArea>
    <c:legend>
      <c:legendPos val="t"/>
      <c:layout>
        <c:manualLayout>
          <c:xMode val="edge"/>
          <c:yMode val="edge"/>
          <c:x val="0.548407154915783"/>
          <c:y val="0.0559284116331096"/>
          <c:w val="0.422825302524582"/>
          <c:h val="0.229770209092991"/>
        </c:manualLayout>
      </c:layout>
      <c:overlay val="0"/>
      <c:txPr>
        <a:bodyPr/>
        <a:lstStyle/>
        <a:p>
          <a:pPr>
            <a:defRPr sz="1000">
              <a:latin typeface="+mj-lt"/>
            </a:defRPr>
          </a:pPr>
          <a:endParaRPr lang="en-US"/>
        </a:p>
      </c:txPr>
    </c:legend>
    <c:plotVisOnly val="1"/>
    <c:dispBlanksAs val="gap"/>
    <c:showDLblsOverMax val="0"/>
  </c:chart>
  <c:spPr>
    <a:ln>
      <a:noFill/>
    </a:ln>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mj-lt"/>
              </a:defRPr>
            </a:pPr>
            <a:r>
              <a:rPr lang="en-US" sz="1000">
                <a:latin typeface="+mj-lt"/>
              </a:rPr>
              <a:t>Before the Conflict (2012)</a:t>
            </a:r>
          </a:p>
        </c:rich>
      </c:tx>
      <c:layout>
        <c:manualLayout>
          <c:xMode val="edge"/>
          <c:yMode val="edge"/>
          <c:x val="0.358553428544104"/>
          <c:y val="0.144906203826659"/>
        </c:manualLayout>
      </c:layout>
      <c:overlay val="0"/>
    </c:title>
    <c:autoTitleDeleted val="0"/>
    <c:plotArea>
      <c:layout>
        <c:manualLayout>
          <c:layoutTarget val="inner"/>
          <c:xMode val="edge"/>
          <c:yMode val="edge"/>
          <c:x val="0.0935708820810354"/>
          <c:y val="0.407016945031515"/>
          <c:w val="0.835843054082715"/>
          <c:h val="0.551245628144463"/>
        </c:manualLayout>
      </c:layout>
      <c:barChart>
        <c:barDir val="bar"/>
        <c:grouping val="stacked"/>
        <c:varyColors val="0"/>
        <c:ser>
          <c:idx val="0"/>
          <c:order val="0"/>
          <c:tx>
            <c:strRef>
              <c:f>Location!$MX$450</c:f>
              <c:strCache>
                <c:ptCount val="1"/>
                <c:pt idx="0">
                  <c:v>Sanitary Napkin</c:v>
                </c:pt>
              </c:strCache>
            </c:strRef>
          </c:tx>
          <c:spPr>
            <a:solidFill>
              <a:srgbClr val="66FF66"/>
            </a:solidFill>
            <a:ln>
              <a:solidFill>
                <a:schemeClr val="tx1"/>
              </a:solidFill>
            </a:ln>
          </c:spPr>
          <c:invertIfNegative val="0"/>
          <c:dLbls>
            <c:spPr>
              <a:ln>
                <a:solidFill>
                  <a:schemeClr val="tx1"/>
                </a:solidFill>
              </a:ln>
            </c:spPr>
            <c:showLegendKey val="0"/>
            <c:showVal val="1"/>
            <c:showCatName val="0"/>
            <c:showSerName val="0"/>
            <c:showPercent val="0"/>
            <c:showBubbleSize val="0"/>
            <c:showLeaderLines val="0"/>
          </c:dLbls>
          <c:cat>
            <c:strRef>
              <c:f>Location!$MY$449:$MZ$449</c:f>
              <c:strCache>
                <c:ptCount val="2"/>
                <c:pt idx="0">
                  <c:v>IDP Camp</c:v>
                </c:pt>
                <c:pt idx="1">
                  <c:v>Village</c:v>
                </c:pt>
              </c:strCache>
            </c:strRef>
          </c:cat>
          <c:val>
            <c:numRef>
              <c:f>Location!$MY$450:$MZ$450</c:f>
              <c:numCache>
                <c:formatCode>0%</c:formatCode>
                <c:ptCount val="2"/>
                <c:pt idx="0">
                  <c:v>0.218181818181818</c:v>
                </c:pt>
                <c:pt idx="1">
                  <c:v>0.134615384615385</c:v>
                </c:pt>
              </c:numCache>
            </c:numRef>
          </c:val>
        </c:ser>
        <c:ser>
          <c:idx val="1"/>
          <c:order val="1"/>
          <c:tx>
            <c:strRef>
              <c:f>Location!$MX$451</c:f>
              <c:strCache>
                <c:ptCount val="1"/>
                <c:pt idx="0">
                  <c:v>Traditional Cloth</c:v>
                </c:pt>
              </c:strCache>
            </c:strRef>
          </c:tx>
          <c:spPr>
            <a:solidFill>
              <a:schemeClr val="accent4">
                <a:lumMod val="75000"/>
              </a:schemeClr>
            </a:solidFill>
            <a:ln>
              <a:solidFill>
                <a:schemeClr val="tx1"/>
              </a:solidFill>
            </a:ln>
          </c:spPr>
          <c:invertIfNegative val="0"/>
          <c:cat>
            <c:strRef>
              <c:f>Location!$MY$449:$MZ$449</c:f>
              <c:strCache>
                <c:ptCount val="2"/>
                <c:pt idx="0">
                  <c:v>IDP Camp</c:v>
                </c:pt>
                <c:pt idx="1">
                  <c:v>Village</c:v>
                </c:pt>
              </c:strCache>
            </c:strRef>
          </c:cat>
          <c:val>
            <c:numRef>
              <c:f>Location!$MY$451:$MZ$451</c:f>
              <c:numCache>
                <c:formatCode>0%</c:formatCode>
                <c:ptCount val="2"/>
                <c:pt idx="0">
                  <c:v>0.772727272727273</c:v>
                </c:pt>
                <c:pt idx="1">
                  <c:v>0.850961538461538</c:v>
                </c:pt>
              </c:numCache>
            </c:numRef>
          </c:val>
        </c:ser>
        <c:dLbls>
          <c:showLegendKey val="0"/>
          <c:showVal val="0"/>
          <c:showCatName val="0"/>
          <c:showSerName val="0"/>
          <c:showPercent val="0"/>
          <c:showBubbleSize val="0"/>
        </c:dLbls>
        <c:gapWidth val="55"/>
        <c:overlap val="100"/>
        <c:axId val="2094973880"/>
        <c:axId val="2094976856"/>
      </c:barChart>
      <c:catAx>
        <c:axId val="2094973880"/>
        <c:scaling>
          <c:orientation val="maxMin"/>
        </c:scaling>
        <c:delete val="1"/>
        <c:axPos val="r"/>
        <c:majorTickMark val="none"/>
        <c:minorTickMark val="none"/>
        <c:tickLblPos val="nextTo"/>
        <c:crossAx val="2094976856"/>
        <c:crosses val="autoZero"/>
        <c:auto val="1"/>
        <c:lblAlgn val="ctr"/>
        <c:lblOffset val="100"/>
        <c:noMultiLvlLbl val="0"/>
      </c:catAx>
      <c:valAx>
        <c:axId val="2094976856"/>
        <c:scaling>
          <c:orientation val="maxMin"/>
          <c:max val="1.0"/>
        </c:scaling>
        <c:delete val="0"/>
        <c:axPos val="t"/>
        <c:majorGridlines/>
        <c:numFmt formatCode="0%" sourceLinked="1"/>
        <c:majorTickMark val="none"/>
        <c:minorTickMark val="none"/>
        <c:tickLblPos val="nextTo"/>
        <c:txPr>
          <a:bodyPr/>
          <a:lstStyle/>
          <a:p>
            <a:pPr>
              <a:defRPr sz="800"/>
            </a:pPr>
            <a:endParaRPr lang="en-US"/>
          </a:p>
        </c:txPr>
        <c:crossAx val="2094973880"/>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latin typeface="+mj-lt"/>
              </a:defRPr>
            </a:pPr>
            <a:r>
              <a:rPr lang="en-US" sz="1000">
                <a:latin typeface="+mj-lt"/>
              </a:rPr>
              <a:t>Sanitary</a:t>
            </a:r>
            <a:r>
              <a:rPr lang="en-US" sz="1000" baseline="0">
                <a:latin typeface="+mj-lt"/>
              </a:rPr>
              <a:t> Protection </a:t>
            </a:r>
          </a:p>
          <a:p>
            <a:pPr algn="l">
              <a:defRPr>
                <a:latin typeface="+mj-lt"/>
              </a:defRPr>
            </a:pPr>
            <a:r>
              <a:rPr lang="en-US" sz="1000" baseline="0">
                <a:latin typeface="+mj-lt"/>
              </a:rPr>
              <a:t>Consumables</a:t>
            </a:r>
            <a:endParaRPr lang="en-US" sz="1000">
              <a:latin typeface="+mj-lt"/>
            </a:endParaRPr>
          </a:p>
        </c:rich>
      </c:tx>
      <c:layout>
        <c:manualLayout>
          <c:xMode val="edge"/>
          <c:yMode val="edge"/>
          <c:x val="0.0990781996406293"/>
          <c:y val="0.019884253319107"/>
        </c:manualLayout>
      </c:layout>
      <c:overlay val="0"/>
    </c:title>
    <c:autoTitleDeleted val="0"/>
    <c:plotArea>
      <c:layout>
        <c:manualLayout>
          <c:layoutTarget val="inner"/>
          <c:xMode val="edge"/>
          <c:yMode val="edge"/>
          <c:x val="0.0943504198429379"/>
          <c:y val="0.22275641025641"/>
          <c:w val="0.86432380713367"/>
          <c:h val="0.604342696345649"/>
        </c:manualLayout>
      </c:layout>
      <c:barChart>
        <c:barDir val="col"/>
        <c:grouping val="clustered"/>
        <c:varyColors val="0"/>
        <c:ser>
          <c:idx val="0"/>
          <c:order val="0"/>
          <c:tx>
            <c:strRef>
              <c:f>Ethnicity!$NT$465</c:f>
              <c:strCache>
                <c:ptCount val="1"/>
                <c:pt idx="0">
                  <c:v>IDP Camp</c:v>
                </c:pt>
              </c:strCache>
            </c:strRef>
          </c:tx>
          <c:spPr>
            <a:solidFill>
              <a:srgbClr val="FFFF00"/>
            </a:solidFill>
            <a:ln>
              <a:solidFill>
                <a:schemeClr val="tx1"/>
              </a:solidFill>
            </a:ln>
          </c:spPr>
          <c:invertIfNegative val="0"/>
          <c:dLbls>
            <c:txPr>
              <a:bodyPr/>
              <a:lstStyle/>
              <a:p>
                <a:pPr>
                  <a:defRPr sz="800">
                    <a:latin typeface="+mj-lt"/>
                  </a:defRPr>
                </a:pPr>
                <a:endParaRPr lang="en-US"/>
              </a:p>
            </c:txPr>
            <c:showLegendKey val="0"/>
            <c:showVal val="1"/>
            <c:showCatName val="0"/>
            <c:showSerName val="0"/>
            <c:showPercent val="0"/>
            <c:showBubbleSize val="0"/>
            <c:showLeaderLines val="0"/>
          </c:dLbls>
          <c:cat>
            <c:strRef>
              <c:f>Ethnicity!$NS$466:$NS$469</c:f>
              <c:strCache>
                <c:ptCount val="4"/>
                <c:pt idx="0">
                  <c:v>Regularly receive</c:v>
                </c:pt>
                <c:pt idx="1">
                  <c:v>Sometimes Receive</c:v>
                </c:pt>
                <c:pt idx="2">
                  <c:v>Never Receive</c:v>
                </c:pt>
                <c:pt idx="3">
                  <c:v>No Answer</c:v>
                </c:pt>
              </c:strCache>
            </c:strRef>
          </c:cat>
          <c:val>
            <c:numRef>
              <c:f>Ethnicity!$NT$466:$NT$469</c:f>
              <c:numCache>
                <c:formatCode>0%</c:formatCode>
                <c:ptCount val="4"/>
                <c:pt idx="0">
                  <c:v>0.6</c:v>
                </c:pt>
                <c:pt idx="1">
                  <c:v>0.354545454545454</c:v>
                </c:pt>
                <c:pt idx="2">
                  <c:v>0.0136363636363636</c:v>
                </c:pt>
                <c:pt idx="3">
                  <c:v>0.0318181818181818</c:v>
                </c:pt>
              </c:numCache>
            </c:numRef>
          </c:val>
        </c:ser>
        <c:ser>
          <c:idx val="1"/>
          <c:order val="1"/>
          <c:tx>
            <c:strRef>
              <c:f>Ethnicity!$NU$465</c:f>
              <c:strCache>
                <c:ptCount val="1"/>
                <c:pt idx="0">
                  <c:v>Village</c:v>
                </c:pt>
              </c:strCache>
            </c:strRef>
          </c:tx>
          <c:spPr>
            <a:solidFill>
              <a:schemeClr val="tx2"/>
            </a:solidFill>
            <a:ln>
              <a:solidFill>
                <a:schemeClr val="tx1"/>
              </a:solidFill>
            </a:ln>
          </c:spPr>
          <c:invertIfNegative val="0"/>
          <c:dLbls>
            <c:dLbl>
              <c:idx val="0"/>
              <c:layout>
                <c:manualLayout>
                  <c:x val="0.0371057513914657"/>
                  <c:y val="0.00428816466552308"/>
                </c:manualLayout>
              </c:layout>
              <c:showLegendKey val="0"/>
              <c:showVal val="1"/>
              <c:showCatName val="0"/>
              <c:showSerName val="0"/>
              <c:showPercent val="0"/>
              <c:showBubbleSize val="0"/>
            </c:dLbl>
            <c:dLbl>
              <c:idx val="1"/>
              <c:layout>
                <c:manualLayout>
                  <c:x val="0.0324675324675324"/>
                  <c:y val="0.00428816466552316"/>
                </c:manualLayout>
              </c:layout>
              <c:showLegendKey val="0"/>
              <c:showVal val="1"/>
              <c:showCatName val="0"/>
              <c:showSerName val="0"/>
              <c:showPercent val="0"/>
              <c:showBubbleSize val="0"/>
            </c:dLbl>
            <c:txPr>
              <a:bodyPr/>
              <a:lstStyle/>
              <a:p>
                <a:pPr>
                  <a:defRPr sz="800">
                    <a:latin typeface="+mj-lt"/>
                  </a:defRPr>
                </a:pPr>
                <a:endParaRPr lang="en-US"/>
              </a:p>
            </c:txPr>
            <c:showLegendKey val="0"/>
            <c:showVal val="1"/>
            <c:showCatName val="0"/>
            <c:showSerName val="0"/>
            <c:showPercent val="0"/>
            <c:showBubbleSize val="0"/>
            <c:showLeaderLines val="0"/>
          </c:dLbls>
          <c:cat>
            <c:strRef>
              <c:f>Ethnicity!$NS$466:$NS$469</c:f>
              <c:strCache>
                <c:ptCount val="4"/>
                <c:pt idx="0">
                  <c:v>Regularly receive</c:v>
                </c:pt>
                <c:pt idx="1">
                  <c:v>Sometimes Receive</c:v>
                </c:pt>
                <c:pt idx="2">
                  <c:v>Never Receive</c:v>
                </c:pt>
                <c:pt idx="3">
                  <c:v>No Answer</c:v>
                </c:pt>
              </c:strCache>
            </c:strRef>
          </c:cat>
          <c:val>
            <c:numRef>
              <c:f>Ethnicity!$NU$466:$NU$469</c:f>
              <c:numCache>
                <c:formatCode>0%</c:formatCode>
                <c:ptCount val="4"/>
                <c:pt idx="0">
                  <c:v>0.225961538461538</c:v>
                </c:pt>
                <c:pt idx="1">
                  <c:v>0.225961538461538</c:v>
                </c:pt>
                <c:pt idx="2">
                  <c:v>0.509615384615385</c:v>
                </c:pt>
                <c:pt idx="3">
                  <c:v>0.0384615384615385</c:v>
                </c:pt>
              </c:numCache>
            </c:numRef>
          </c:val>
        </c:ser>
        <c:dLbls>
          <c:showLegendKey val="0"/>
          <c:showVal val="0"/>
          <c:showCatName val="0"/>
          <c:showSerName val="0"/>
          <c:showPercent val="0"/>
          <c:showBubbleSize val="0"/>
        </c:dLbls>
        <c:gapWidth val="150"/>
        <c:axId val="-2060511672"/>
        <c:axId val="-2060508664"/>
      </c:barChart>
      <c:catAx>
        <c:axId val="-2060511672"/>
        <c:scaling>
          <c:orientation val="minMax"/>
        </c:scaling>
        <c:delete val="0"/>
        <c:axPos val="b"/>
        <c:majorTickMark val="none"/>
        <c:minorTickMark val="none"/>
        <c:tickLblPos val="nextTo"/>
        <c:txPr>
          <a:bodyPr/>
          <a:lstStyle/>
          <a:p>
            <a:pPr>
              <a:defRPr sz="900">
                <a:latin typeface="+mj-lt"/>
              </a:defRPr>
            </a:pPr>
            <a:endParaRPr lang="en-US"/>
          </a:p>
        </c:txPr>
        <c:crossAx val="-2060508664"/>
        <c:crosses val="autoZero"/>
        <c:auto val="1"/>
        <c:lblAlgn val="ctr"/>
        <c:lblOffset val="100"/>
        <c:noMultiLvlLbl val="0"/>
      </c:catAx>
      <c:valAx>
        <c:axId val="-2060508664"/>
        <c:scaling>
          <c:orientation val="minMax"/>
        </c:scaling>
        <c:delete val="0"/>
        <c:axPos val="l"/>
        <c:majorGridlines/>
        <c:numFmt formatCode="0%" sourceLinked="1"/>
        <c:majorTickMark val="none"/>
        <c:minorTickMark val="none"/>
        <c:tickLblPos val="nextTo"/>
        <c:txPr>
          <a:bodyPr/>
          <a:lstStyle/>
          <a:p>
            <a:pPr>
              <a:defRPr sz="800"/>
            </a:pPr>
            <a:endParaRPr lang="en-US"/>
          </a:p>
        </c:txPr>
        <c:crossAx val="-2060511672"/>
        <c:crosses val="autoZero"/>
        <c:crossBetween val="between"/>
      </c:valAx>
      <c:spPr>
        <a:ln>
          <a:solidFill>
            <a:schemeClr val="tx1"/>
          </a:solidFill>
        </a:ln>
      </c:spPr>
    </c:plotArea>
    <c:legend>
      <c:legendPos val="r"/>
      <c:layout>
        <c:manualLayout>
          <c:xMode val="edge"/>
          <c:yMode val="edge"/>
          <c:x val="0.694428293865864"/>
          <c:y val="0.023713212949582"/>
          <c:w val="0.276242563429571"/>
          <c:h val="0.117000715819613"/>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latin typeface="+mj-lt"/>
              </a:defRPr>
            </a:pPr>
            <a:r>
              <a:rPr lang="en-US" sz="1000">
                <a:latin typeface="+mj-lt"/>
              </a:rPr>
              <a:t>Reasons for Changes</a:t>
            </a:r>
            <a:r>
              <a:rPr lang="en-US" sz="1000" baseline="0">
                <a:latin typeface="+mj-lt"/>
              </a:rPr>
              <a:t> </a:t>
            </a:r>
          </a:p>
          <a:p>
            <a:pPr algn="l">
              <a:defRPr>
                <a:latin typeface="+mj-lt"/>
              </a:defRPr>
            </a:pPr>
            <a:r>
              <a:rPr lang="en-US" sz="1000" baseline="0">
                <a:latin typeface="+mj-lt"/>
              </a:rPr>
              <a:t>in Behaviour</a:t>
            </a:r>
          </a:p>
        </c:rich>
      </c:tx>
      <c:layout>
        <c:manualLayout>
          <c:xMode val="edge"/>
          <c:yMode val="edge"/>
          <c:x val="0.0327582213987957"/>
          <c:y val="0.00330209785174632"/>
        </c:manualLayout>
      </c:layout>
      <c:overlay val="0"/>
    </c:title>
    <c:autoTitleDeleted val="0"/>
    <c:plotArea>
      <c:layout>
        <c:manualLayout>
          <c:layoutTarget val="inner"/>
          <c:xMode val="edge"/>
          <c:yMode val="edge"/>
          <c:x val="0.461768591426072"/>
          <c:y val="0.178237938252493"/>
          <c:w val="0.478932852143482"/>
          <c:h val="0.778975452203027"/>
        </c:manualLayout>
      </c:layout>
      <c:barChart>
        <c:barDir val="bar"/>
        <c:grouping val="clustered"/>
        <c:varyColors val="0"/>
        <c:ser>
          <c:idx val="0"/>
          <c:order val="0"/>
          <c:tx>
            <c:strRef>
              <c:f>Ethnicity!$NB$495</c:f>
              <c:strCache>
                <c:ptCount val="1"/>
                <c:pt idx="0">
                  <c:v>IDP Camps</c:v>
                </c:pt>
              </c:strCache>
            </c:strRef>
          </c:tx>
          <c:spPr>
            <a:solidFill>
              <a:srgbClr val="FFFF00"/>
            </a:solidFill>
            <a:ln>
              <a:solidFill>
                <a:schemeClr val="tx1"/>
              </a:solidFill>
            </a:ln>
          </c:spPr>
          <c:invertIfNegative val="0"/>
          <c:dLbls>
            <c:dLbl>
              <c:idx val="4"/>
              <c:delete val="1"/>
            </c:dLbl>
            <c:dLbl>
              <c:idx val="5"/>
              <c:delete val="1"/>
            </c:dLbl>
            <c:dLbl>
              <c:idx val="6"/>
              <c:delete val="1"/>
            </c:dLbl>
            <c:dLbl>
              <c:idx val="7"/>
              <c:delete val="1"/>
            </c:dLbl>
            <c:dLbl>
              <c:idx val="8"/>
              <c:delete val="1"/>
            </c:dLbl>
            <c:dLbl>
              <c:idx val="9"/>
              <c:delete val="1"/>
            </c:dLbl>
            <c:dLbl>
              <c:idx val="10"/>
              <c:delete val="1"/>
            </c:dLbl>
            <c:txPr>
              <a:bodyPr/>
              <a:lstStyle/>
              <a:p>
                <a:pPr>
                  <a:defRPr sz="800" b="1">
                    <a:latin typeface="+mj-lt"/>
                  </a:defRPr>
                </a:pPr>
                <a:endParaRPr lang="en-US"/>
              </a:p>
            </c:txPr>
            <c:showLegendKey val="0"/>
            <c:showVal val="1"/>
            <c:showCatName val="0"/>
            <c:showSerName val="0"/>
            <c:showPercent val="0"/>
            <c:showBubbleSize val="0"/>
            <c:showLeaderLines val="0"/>
          </c:dLbls>
          <c:cat>
            <c:strRef>
              <c:f>Ethnicity!$NC$494:$NM$494</c:f>
              <c:strCache>
                <c:ptCount val="11"/>
                <c:pt idx="0">
                  <c:v>Work of Hygiene Promoters</c:v>
                </c:pt>
                <c:pt idx="1">
                  <c:v>Work of NGOs</c:v>
                </c:pt>
                <c:pt idx="2">
                  <c:v>NGO distributions _x000d_increased demand</c:v>
                </c:pt>
                <c:pt idx="3">
                  <c:v>Improved Knowledge</c:v>
                </c:pt>
                <c:pt idx="4">
                  <c:v>Increased availability _x000d_in the market</c:v>
                </c:pt>
                <c:pt idx="5">
                  <c:v>Unavailability in_x000d_ local market</c:v>
                </c:pt>
                <c:pt idx="6">
                  <c:v>TV messages</c:v>
                </c:pt>
                <c:pt idx="7">
                  <c:v>Radio messages</c:v>
                </c:pt>
                <c:pt idx="8">
                  <c:v>Health messages (MoH)</c:v>
                </c:pt>
                <c:pt idx="9">
                  <c:v>Other</c:v>
                </c:pt>
                <c:pt idx="10">
                  <c:v>Don't know</c:v>
                </c:pt>
              </c:strCache>
            </c:strRef>
          </c:cat>
          <c:val>
            <c:numRef>
              <c:f>Ethnicity!$NC$495:$NM$495</c:f>
              <c:numCache>
                <c:formatCode>0%</c:formatCode>
                <c:ptCount val="11"/>
                <c:pt idx="0">
                  <c:v>0.404545454545455</c:v>
                </c:pt>
                <c:pt idx="1">
                  <c:v>0.204545454545455</c:v>
                </c:pt>
                <c:pt idx="2">
                  <c:v>0.186363636363636</c:v>
                </c:pt>
                <c:pt idx="3">
                  <c:v>0.131818181818182</c:v>
                </c:pt>
                <c:pt idx="4">
                  <c:v>0.0272727272727273</c:v>
                </c:pt>
                <c:pt idx="5">
                  <c:v>0.0</c:v>
                </c:pt>
                <c:pt idx="6">
                  <c:v>0.00909090909090909</c:v>
                </c:pt>
                <c:pt idx="7" formatCode="0.0%">
                  <c:v>0.0</c:v>
                </c:pt>
                <c:pt idx="8" formatCode="0.0%">
                  <c:v>0.0</c:v>
                </c:pt>
                <c:pt idx="9" formatCode="0.0%">
                  <c:v>0.00454545454545454</c:v>
                </c:pt>
                <c:pt idx="10">
                  <c:v>0.140909090909091</c:v>
                </c:pt>
              </c:numCache>
            </c:numRef>
          </c:val>
        </c:ser>
        <c:ser>
          <c:idx val="1"/>
          <c:order val="1"/>
          <c:tx>
            <c:strRef>
              <c:f>Ethnicity!$NB$496</c:f>
              <c:strCache>
                <c:ptCount val="1"/>
                <c:pt idx="0">
                  <c:v>Village</c:v>
                </c:pt>
              </c:strCache>
            </c:strRef>
          </c:tx>
          <c:spPr>
            <a:solidFill>
              <a:schemeClr val="tx2"/>
            </a:solidFill>
            <a:ln>
              <a:solidFill>
                <a:schemeClr val="tx1"/>
              </a:solidFill>
            </a:ln>
          </c:spPr>
          <c:invertIfNegative val="0"/>
          <c:cat>
            <c:strRef>
              <c:f>Ethnicity!$NC$494:$NM$494</c:f>
              <c:strCache>
                <c:ptCount val="11"/>
                <c:pt idx="0">
                  <c:v>Work of Hygiene Promoters</c:v>
                </c:pt>
                <c:pt idx="1">
                  <c:v>Work of NGOs</c:v>
                </c:pt>
                <c:pt idx="2">
                  <c:v>NGO distributions _x000d_increased demand</c:v>
                </c:pt>
                <c:pt idx="3">
                  <c:v>Improved Knowledge</c:v>
                </c:pt>
                <c:pt idx="4">
                  <c:v>Increased availability _x000d_in the market</c:v>
                </c:pt>
                <c:pt idx="5">
                  <c:v>Unavailability in_x000d_ local market</c:v>
                </c:pt>
                <c:pt idx="6">
                  <c:v>TV messages</c:v>
                </c:pt>
                <c:pt idx="7">
                  <c:v>Radio messages</c:v>
                </c:pt>
                <c:pt idx="8">
                  <c:v>Health messages (MoH)</c:v>
                </c:pt>
                <c:pt idx="9">
                  <c:v>Other</c:v>
                </c:pt>
                <c:pt idx="10">
                  <c:v>Don't know</c:v>
                </c:pt>
              </c:strCache>
            </c:strRef>
          </c:cat>
          <c:val>
            <c:numRef>
              <c:f>Ethnicity!$NC$496:$NM$496</c:f>
              <c:numCache>
                <c:formatCode>0%</c:formatCode>
                <c:ptCount val="11"/>
                <c:pt idx="0">
                  <c:v>0.125</c:v>
                </c:pt>
                <c:pt idx="1">
                  <c:v>0.0721153846153846</c:v>
                </c:pt>
                <c:pt idx="2">
                  <c:v>0.0673076923076923</c:v>
                </c:pt>
                <c:pt idx="3">
                  <c:v>0.0576923076923077</c:v>
                </c:pt>
                <c:pt idx="4">
                  <c:v>0.0913461538461538</c:v>
                </c:pt>
                <c:pt idx="5">
                  <c:v>0.0432692307692308</c:v>
                </c:pt>
                <c:pt idx="6">
                  <c:v>0.0432692307692308</c:v>
                </c:pt>
                <c:pt idx="7" formatCode="0.0%">
                  <c:v>0.00480769230769231</c:v>
                </c:pt>
                <c:pt idx="8" formatCode="0.0%">
                  <c:v>0.0</c:v>
                </c:pt>
                <c:pt idx="9" formatCode="0.0%">
                  <c:v>0.0</c:v>
                </c:pt>
                <c:pt idx="10">
                  <c:v>0.307692307692308</c:v>
                </c:pt>
              </c:numCache>
            </c:numRef>
          </c:val>
        </c:ser>
        <c:dLbls>
          <c:showLegendKey val="0"/>
          <c:showVal val="0"/>
          <c:showCatName val="0"/>
          <c:showSerName val="0"/>
          <c:showPercent val="0"/>
          <c:showBubbleSize val="0"/>
        </c:dLbls>
        <c:gapWidth val="50"/>
        <c:axId val="2139227224"/>
        <c:axId val="2139122072"/>
      </c:barChart>
      <c:catAx>
        <c:axId val="2139227224"/>
        <c:scaling>
          <c:orientation val="maxMin"/>
        </c:scaling>
        <c:delete val="0"/>
        <c:axPos val="l"/>
        <c:majorTickMark val="none"/>
        <c:minorTickMark val="none"/>
        <c:tickLblPos val="nextTo"/>
        <c:txPr>
          <a:bodyPr/>
          <a:lstStyle/>
          <a:p>
            <a:pPr algn="r">
              <a:defRPr sz="900">
                <a:latin typeface="+mj-lt"/>
              </a:defRPr>
            </a:pPr>
            <a:endParaRPr lang="en-US"/>
          </a:p>
        </c:txPr>
        <c:crossAx val="2139122072"/>
        <c:crosses val="autoZero"/>
        <c:auto val="1"/>
        <c:lblAlgn val="ctr"/>
        <c:lblOffset val="100"/>
        <c:noMultiLvlLbl val="0"/>
      </c:catAx>
      <c:valAx>
        <c:axId val="2139122072"/>
        <c:scaling>
          <c:orientation val="minMax"/>
          <c:max val="0.5"/>
        </c:scaling>
        <c:delete val="0"/>
        <c:axPos val="t"/>
        <c:majorGridlines/>
        <c:numFmt formatCode="0%" sourceLinked="1"/>
        <c:majorTickMark val="none"/>
        <c:minorTickMark val="none"/>
        <c:tickLblPos val="nextTo"/>
        <c:txPr>
          <a:bodyPr/>
          <a:lstStyle/>
          <a:p>
            <a:pPr>
              <a:defRPr sz="800"/>
            </a:pPr>
            <a:endParaRPr lang="en-US"/>
          </a:p>
        </c:txPr>
        <c:crossAx val="2139227224"/>
        <c:crosses val="autoZero"/>
        <c:crossBetween val="between"/>
        <c:minorUnit val="0.05"/>
      </c:valAx>
      <c:spPr>
        <a:ln>
          <a:solidFill>
            <a:schemeClr val="tx1"/>
          </a:solidFill>
        </a:ln>
      </c:spPr>
    </c:plotArea>
    <c:legend>
      <c:legendPos val="t"/>
      <c:layout>
        <c:manualLayout>
          <c:xMode val="edge"/>
          <c:yMode val="edge"/>
          <c:x val="0.441516477107028"/>
          <c:y val="0.0185130726062557"/>
          <c:w val="0.501329509737209"/>
          <c:h val="0.0884973024681516"/>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mj-lt"/>
              </a:defRPr>
            </a:pPr>
            <a:r>
              <a:rPr lang="en-US" sz="1000">
                <a:latin typeface="+mj-lt"/>
              </a:rPr>
              <a:t>Preference</a:t>
            </a:r>
            <a:r>
              <a:rPr lang="en-US" sz="1000" baseline="0">
                <a:latin typeface="+mj-lt"/>
              </a:rPr>
              <a:t> for Sanitary Protection</a:t>
            </a:r>
            <a:endParaRPr lang="en-US" sz="1000">
              <a:latin typeface="+mj-lt"/>
            </a:endParaRPr>
          </a:p>
        </c:rich>
      </c:tx>
      <c:layout>
        <c:manualLayout>
          <c:xMode val="edge"/>
          <c:yMode val="edge"/>
          <c:x val="0.0223958880139982"/>
          <c:y val="0.0466500735586665"/>
        </c:manualLayout>
      </c:layout>
      <c:overlay val="0"/>
    </c:title>
    <c:autoTitleDeleted val="0"/>
    <c:plotArea>
      <c:layout/>
      <c:barChart>
        <c:barDir val="bar"/>
        <c:grouping val="stacked"/>
        <c:varyColors val="0"/>
        <c:ser>
          <c:idx val="0"/>
          <c:order val="0"/>
          <c:tx>
            <c:strRef>
              <c:f>Ethnicity!$NW$453</c:f>
              <c:strCache>
                <c:ptCount val="1"/>
                <c:pt idx="0">
                  <c:v>Sanitary Napkin</c:v>
                </c:pt>
              </c:strCache>
            </c:strRef>
          </c:tx>
          <c:spPr>
            <a:solidFill>
              <a:srgbClr val="66FF66"/>
            </a:solidFill>
            <a:ln>
              <a:solidFill>
                <a:schemeClr val="tx1"/>
              </a:solidFill>
            </a:ln>
          </c:spPr>
          <c:invertIfNegative val="0"/>
          <c:dLbls>
            <c:txPr>
              <a:bodyPr/>
              <a:lstStyle/>
              <a:p>
                <a:pPr>
                  <a:defRPr sz="900">
                    <a:latin typeface="+mj-lt"/>
                  </a:defRPr>
                </a:pPr>
                <a:endParaRPr lang="en-US"/>
              </a:p>
            </c:txPr>
            <c:showLegendKey val="0"/>
            <c:showVal val="1"/>
            <c:showCatName val="0"/>
            <c:showSerName val="0"/>
            <c:showPercent val="0"/>
            <c:showBubbleSize val="0"/>
            <c:showLeaderLines val="0"/>
          </c:dLbls>
          <c:cat>
            <c:strRef>
              <c:f>Ethnicity!$NV$454:$NV$455</c:f>
              <c:strCache>
                <c:ptCount val="2"/>
                <c:pt idx="0">
                  <c:v>IDP Camps</c:v>
                </c:pt>
                <c:pt idx="1">
                  <c:v>Village</c:v>
                </c:pt>
              </c:strCache>
            </c:strRef>
          </c:cat>
          <c:val>
            <c:numRef>
              <c:f>Ethnicity!$NW$454:$NW$455</c:f>
              <c:numCache>
                <c:formatCode>0%</c:formatCode>
                <c:ptCount val="2"/>
                <c:pt idx="0">
                  <c:v>0.459090909090909</c:v>
                </c:pt>
                <c:pt idx="1">
                  <c:v>0.254807692307692</c:v>
                </c:pt>
              </c:numCache>
            </c:numRef>
          </c:val>
        </c:ser>
        <c:ser>
          <c:idx val="2"/>
          <c:order val="1"/>
          <c:tx>
            <c:strRef>
              <c:f>Ethnicity!$NY$453</c:f>
              <c:strCache>
                <c:ptCount val="1"/>
                <c:pt idx="0">
                  <c:v>Both</c:v>
                </c:pt>
              </c:strCache>
            </c:strRef>
          </c:tx>
          <c:spPr>
            <a:solidFill>
              <a:schemeClr val="accent6">
                <a:lumMod val="60000"/>
                <a:lumOff val="40000"/>
              </a:schemeClr>
            </a:solidFill>
            <a:ln>
              <a:solidFill>
                <a:schemeClr val="tx1"/>
              </a:solidFill>
            </a:ln>
          </c:spPr>
          <c:invertIfNegative val="0"/>
          <c:dLbls>
            <c:txPr>
              <a:bodyPr/>
              <a:lstStyle/>
              <a:p>
                <a:pPr>
                  <a:defRPr sz="800" b="1"/>
                </a:pPr>
                <a:endParaRPr lang="en-US"/>
              </a:p>
            </c:txPr>
            <c:showLegendKey val="0"/>
            <c:showVal val="1"/>
            <c:showCatName val="0"/>
            <c:showSerName val="0"/>
            <c:showPercent val="0"/>
            <c:showBubbleSize val="0"/>
            <c:showLeaderLines val="0"/>
          </c:dLbls>
          <c:cat>
            <c:strRef>
              <c:f>Ethnicity!$NV$454:$NV$455</c:f>
              <c:strCache>
                <c:ptCount val="2"/>
                <c:pt idx="0">
                  <c:v>IDP Camps</c:v>
                </c:pt>
                <c:pt idx="1">
                  <c:v>Village</c:v>
                </c:pt>
              </c:strCache>
            </c:strRef>
          </c:cat>
          <c:val>
            <c:numRef>
              <c:f>Ethnicity!$NY$454:$NY$455</c:f>
              <c:numCache>
                <c:formatCode>0%</c:formatCode>
                <c:ptCount val="2"/>
                <c:pt idx="0">
                  <c:v>0.118181818181818</c:v>
                </c:pt>
                <c:pt idx="1">
                  <c:v>0.25</c:v>
                </c:pt>
              </c:numCache>
            </c:numRef>
          </c:val>
        </c:ser>
        <c:ser>
          <c:idx val="1"/>
          <c:order val="2"/>
          <c:tx>
            <c:strRef>
              <c:f>Ethnicity!$NX$453</c:f>
              <c:strCache>
                <c:ptCount val="1"/>
                <c:pt idx="0">
                  <c:v>Traditional Cloth</c:v>
                </c:pt>
              </c:strCache>
            </c:strRef>
          </c:tx>
          <c:spPr>
            <a:solidFill>
              <a:schemeClr val="accent4">
                <a:lumMod val="75000"/>
              </a:schemeClr>
            </a:solidFill>
            <a:ln>
              <a:solidFill>
                <a:schemeClr val="tx1"/>
              </a:solidFill>
            </a:ln>
          </c:spPr>
          <c:invertIfNegative val="0"/>
          <c:dLbls>
            <c:txPr>
              <a:bodyPr/>
              <a:lstStyle/>
              <a:p>
                <a:pPr>
                  <a:defRPr sz="800" b="1">
                    <a:solidFill>
                      <a:schemeClr val="bg1"/>
                    </a:solidFill>
                  </a:defRPr>
                </a:pPr>
                <a:endParaRPr lang="en-US"/>
              </a:p>
            </c:txPr>
            <c:showLegendKey val="0"/>
            <c:showVal val="1"/>
            <c:showCatName val="0"/>
            <c:showSerName val="0"/>
            <c:showPercent val="0"/>
            <c:showBubbleSize val="0"/>
            <c:showLeaderLines val="0"/>
          </c:dLbls>
          <c:cat>
            <c:strRef>
              <c:f>Ethnicity!$NV$454:$NV$455</c:f>
              <c:strCache>
                <c:ptCount val="2"/>
                <c:pt idx="0">
                  <c:v>IDP Camps</c:v>
                </c:pt>
                <c:pt idx="1">
                  <c:v>Village</c:v>
                </c:pt>
              </c:strCache>
            </c:strRef>
          </c:cat>
          <c:val>
            <c:numRef>
              <c:f>Ethnicity!$NX$454:$NX$455</c:f>
              <c:numCache>
                <c:formatCode>0%</c:formatCode>
                <c:ptCount val="2"/>
                <c:pt idx="0">
                  <c:v>0.404545454545455</c:v>
                </c:pt>
                <c:pt idx="1">
                  <c:v>0.461538461538462</c:v>
                </c:pt>
              </c:numCache>
            </c:numRef>
          </c:val>
        </c:ser>
        <c:ser>
          <c:idx val="3"/>
          <c:order val="3"/>
          <c:tx>
            <c:strRef>
              <c:f>Ethnicity!$NZ$453</c:f>
              <c:strCache>
                <c:ptCount val="1"/>
                <c:pt idx="0">
                  <c:v>Missing</c:v>
                </c:pt>
              </c:strCache>
            </c:strRef>
          </c:tx>
          <c:spPr>
            <a:solidFill>
              <a:srgbClr val="FF0000"/>
            </a:solidFill>
            <a:ln>
              <a:solidFill>
                <a:schemeClr val="tx1"/>
              </a:solidFill>
            </a:ln>
          </c:spPr>
          <c:invertIfNegative val="0"/>
          <c:cat>
            <c:strRef>
              <c:f>Ethnicity!$NV$454:$NV$455</c:f>
              <c:strCache>
                <c:ptCount val="2"/>
                <c:pt idx="0">
                  <c:v>IDP Camps</c:v>
                </c:pt>
                <c:pt idx="1">
                  <c:v>Village</c:v>
                </c:pt>
              </c:strCache>
            </c:strRef>
          </c:cat>
          <c:val>
            <c:numRef>
              <c:f>Ethnicity!$NZ$454:$NZ$455</c:f>
              <c:numCache>
                <c:formatCode>0%</c:formatCode>
                <c:ptCount val="2"/>
                <c:pt idx="0">
                  <c:v>0.0181818181818182</c:v>
                </c:pt>
                <c:pt idx="1">
                  <c:v>0.0336538461538462</c:v>
                </c:pt>
              </c:numCache>
            </c:numRef>
          </c:val>
        </c:ser>
        <c:dLbls>
          <c:showLegendKey val="0"/>
          <c:showVal val="0"/>
          <c:showCatName val="0"/>
          <c:showSerName val="0"/>
          <c:showPercent val="0"/>
          <c:showBubbleSize val="0"/>
        </c:dLbls>
        <c:gapWidth val="50"/>
        <c:overlap val="100"/>
        <c:axId val="2095036968"/>
        <c:axId val="2089128600"/>
      </c:barChart>
      <c:catAx>
        <c:axId val="2095036968"/>
        <c:scaling>
          <c:orientation val="maxMin"/>
        </c:scaling>
        <c:delete val="0"/>
        <c:axPos val="l"/>
        <c:majorTickMark val="none"/>
        <c:minorTickMark val="none"/>
        <c:tickLblPos val="nextTo"/>
        <c:txPr>
          <a:bodyPr/>
          <a:lstStyle/>
          <a:p>
            <a:pPr>
              <a:defRPr sz="900"/>
            </a:pPr>
            <a:endParaRPr lang="en-US"/>
          </a:p>
        </c:txPr>
        <c:crossAx val="2089128600"/>
        <c:crosses val="autoZero"/>
        <c:auto val="1"/>
        <c:lblAlgn val="ctr"/>
        <c:lblOffset val="100"/>
        <c:noMultiLvlLbl val="0"/>
      </c:catAx>
      <c:valAx>
        <c:axId val="2089128600"/>
        <c:scaling>
          <c:orientation val="minMax"/>
          <c:max val="1.0"/>
        </c:scaling>
        <c:delete val="0"/>
        <c:axPos val="t"/>
        <c:majorGridlines/>
        <c:numFmt formatCode="0%" sourceLinked="1"/>
        <c:majorTickMark val="none"/>
        <c:minorTickMark val="none"/>
        <c:tickLblPos val="nextTo"/>
        <c:txPr>
          <a:bodyPr/>
          <a:lstStyle/>
          <a:p>
            <a:pPr>
              <a:defRPr sz="800"/>
            </a:pPr>
            <a:endParaRPr lang="en-US"/>
          </a:p>
        </c:txPr>
        <c:crossAx val="2095036968"/>
        <c:crosses val="autoZero"/>
        <c:crossBetween val="between"/>
        <c:minorUnit val="0.05"/>
      </c:valAx>
      <c:spPr>
        <a:ln>
          <a:solidFill>
            <a:schemeClr val="tx1"/>
          </a:solidFill>
        </a:ln>
      </c:spPr>
    </c:plotArea>
    <c:legend>
      <c:legendPos val="t"/>
      <c:layout>
        <c:manualLayout>
          <c:xMode val="edge"/>
          <c:yMode val="edge"/>
          <c:x val="0.0617289539475221"/>
          <c:y val="0.190875486921362"/>
          <c:w val="0.851179133858268"/>
          <c:h val="0.106865339749198"/>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mj-lt"/>
              </a:defRPr>
            </a:pPr>
            <a:r>
              <a:rPr lang="en-US" sz="1000">
                <a:latin typeface="+mj-lt"/>
              </a:rPr>
              <a:t>Sanitary Napkin Disposal</a:t>
            </a:r>
          </a:p>
        </c:rich>
      </c:tx>
      <c:layout>
        <c:manualLayout>
          <c:xMode val="edge"/>
          <c:yMode val="edge"/>
          <c:x val="0.0389597239431365"/>
          <c:y val="0.037037037037037"/>
        </c:manualLayout>
      </c:layout>
      <c:overlay val="0"/>
    </c:title>
    <c:autoTitleDeleted val="0"/>
    <c:plotArea>
      <c:layout>
        <c:manualLayout>
          <c:layoutTarget val="inner"/>
          <c:xMode val="edge"/>
          <c:yMode val="edge"/>
          <c:x val="0.408874588645962"/>
          <c:y val="0.295183362496355"/>
          <c:w val="0.52951390276723"/>
          <c:h val="0.658520341207349"/>
        </c:manualLayout>
      </c:layout>
      <c:barChart>
        <c:barDir val="bar"/>
        <c:grouping val="clustered"/>
        <c:varyColors val="0"/>
        <c:ser>
          <c:idx val="0"/>
          <c:order val="0"/>
          <c:tx>
            <c:strRef>
              <c:f>Ethnicity!$NX$505</c:f>
              <c:strCache>
                <c:ptCount val="1"/>
                <c:pt idx="0">
                  <c:v>Village</c:v>
                </c:pt>
              </c:strCache>
            </c:strRef>
          </c:tx>
          <c:spPr>
            <a:solidFill>
              <a:srgbClr val="FFFF00"/>
            </a:solidFill>
            <a:ln>
              <a:solidFill>
                <a:schemeClr val="tx1"/>
              </a:solidFill>
            </a:ln>
          </c:spPr>
          <c:invertIfNegative val="0"/>
          <c:dLbls>
            <c:txPr>
              <a:bodyPr/>
              <a:lstStyle/>
              <a:p>
                <a:pPr>
                  <a:defRPr sz="800" b="1"/>
                </a:pPr>
                <a:endParaRPr lang="en-US"/>
              </a:p>
            </c:txPr>
            <c:showLegendKey val="0"/>
            <c:showVal val="1"/>
            <c:showCatName val="0"/>
            <c:showSerName val="0"/>
            <c:showPercent val="0"/>
            <c:showBubbleSize val="0"/>
            <c:showLeaderLines val="0"/>
          </c:dLbls>
          <c:cat>
            <c:strRef>
              <c:f>Ethnicity!$NY$503:$OC$503</c:f>
              <c:strCache>
                <c:ptCount val="5"/>
                <c:pt idx="0">
                  <c:v>Bury it</c:v>
                </c:pt>
                <c:pt idx="1">
                  <c:v>In a Latrine</c:v>
                </c:pt>
                <c:pt idx="2">
                  <c:v>Waste Collection _x000d_Point</c:v>
                </c:pt>
                <c:pt idx="3">
                  <c:v>Other</c:v>
                </c:pt>
                <c:pt idx="4">
                  <c:v>No answer /_x000d_Do not use</c:v>
                </c:pt>
              </c:strCache>
            </c:strRef>
          </c:cat>
          <c:val>
            <c:numRef>
              <c:f>Ethnicity!$NY$505:$OC$505</c:f>
              <c:numCache>
                <c:formatCode>0%</c:formatCode>
                <c:ptCount val="5"/>
                <c:pt idx="0">
                  <c:v>0.504807692307692</c:v>
                </c:pt>
                <c:pt idx="1">
                  <c:v>0.206730769230769</c:v>
                </c:pt>
                <c:pt idx="2">
                  <c:v>0.0769230769230769</c:v>
                </c:pt>
                <c:pt idx="3">
                  <c:v>0.0625</c:v>
                </c:pt>
                <c:pt idx="4">
                  <c:v>0.197115384615385</c:v>
                </c:pt>
              </c:numCache>
            </c:numRef>
          </c:val>
        </c:ser>
        <c:ser>
          <c:idx val="1"/>
          <c:order val="1"/>
          <c:tx>
            <c:strRef>
              <c:f>Ethnicity!$NX$506</c:f>
              <c:strCache>
                <c:ptCount val="1"/>
                <c:pt idx="0">
                  <c:v>TOTAL</c:v>
                </c:pt>
              </c:strCache>
            </c:strRef>
          </c:tx>
          <c:spPr>
            <a:solidFill>
              <a:schemeClr val="tx2"/>
            </a:solidFill>
            <a:ln>
              <a:solidFill>
                <a:schemeClr val="tx1"/>
              </a:solidFill>
            </a:ln>
          </c:spPr>
          <c:invertIfNegative val="0"/>
          <c:dLbls>
            <c:txPr>
              <a:bodyPr/>
              <a:lstStyle/>
              <a:p>
                <a:pPr>
                  <a:defRPr sz="800"/>
                </a:pPr>
                <a:endParaRPr lang="en-US"/>
              </a:p>
            </c:txPr>
            <c:showLegendKey val="0"/>
            <c:showVal val="1"/>
            <c:showCatName val="0"/>
            <c:showSerName val="0"/>
            <c:showPercent val="0"/>
            <c:showBubbleSize val="0"/>
            <c:showLeaderLines val="0"/>
          </c:dLbls>
          <c:cat>
            <c:strRef>
              <c:f>Ethnicity!$NY$503:$OC$503</c:f>
              <c:strCache>
                <c:ptCount val="5"/>
                <c:pt idx="0">
                  <c:v>Bury it</c:v>
                </c:pt>
                <c:pt idx="1">
                  <c:v>In a Latrine</c:v>
                </c:pt>
                <c:pt idx="2">
                  <c:v>Waste Collection _x000d_Point</c:v>
                </c:pt>
                <c:pt idx="3">
                  <c:v>Other</c:v>
                </c:pt>
                <c:pt idx="4">
                  <c:v>No answer /_x000d_Do not use</c:v>
                </c:pt>
              </c:strCache>
            </c:strRef>
          </c:cat>
          <c:val>
            <c:numRef>
              <c:f>Ethnicity!$NY$506:$OC$506</c:f>
              <c:numCache>
                <c:formatCode>0%</c:formatCode>
                <c:ptCount val="5"/>
                <c:pt idx="0">
                  <c:v>0.485981308411215</c:v>
                </c:pt>
                <c:pt idx="1">
                  <c:v>0.329439252336449</c:v>
                </c:pt>
                <c:pt idx="2">
                  <c:v>0.0724299065420561</c:v>
                </c:pt>
                <c:pt idx="3">
                  <c:v>0.0490654205607477</c:v>
                </c:pt>
                <c:pt idx="4">
                  <c:v>0.126168224299065</c:v>
                </c:pt>
              </c:numCache>
            </c:numRef>
          </c:val>
        </c:ser>
        <c:dLbls>
          <c:showLegendKey val="0"/>
          <c:showVal val="0"/>
          <c:showCatName val="0"/>
          <c:showSerName val="0"/>
          <c:showPercent val="0"/>
          <c:showBubbleSize val="0"/>
        </c:dLbls>
        <c:gapWidth val="50"/>
        <c:axId val="2089717672"/>
        <c:axId val="2089720728"/>
      </c:barChart>
      <c:catAx>
        <c:axId val="2089717672"/>
        <c:scaling>
          <c:orientation val="maxMin"/>
        </c:scaling>
        <c:delete val="0"/>
        <c:axPos val="l"/>
        <c:majorTickMark val="none"/>
        <c:minorTickMark val="none"/>
        <c:tickLblPos val="nextTo"/>
        <c:txPr>
          <a:bodyPr/>
          <a:lstStyle/>
          <a:p>
            <a:pPr algn="r">
              <a:defRPr sz="900">
                <a:latin typeface="+mj-lt"/>
              </a:defRPr>
            </a:pPr>
            <a:endParaRPr lang="en-US"/>
          </a:p>
        </c:txPr>
        <c:crossAx val="2089720728"/>
        <c:crosses val="autoZero"/>
        <c:auto val="1"/>
        <c:lblAlgn val="ctr"/>
        <c:lblOffset val="100"/>
        <c:noMultiLvlLbl val="0"/>
      </c:catAx>
      <c:valAx>
        <c:axId val="2089720728"/>
        <c:scaling>
          <c:orientation val="minMax"/>
        </c:scaling>
        <c:delete val="0"/>
        <c:axPos val="t"/>
        <c:majorGridlines/>
        <c:numFmt formatCode="0%" sourceLinked="1"/>
        <c:majorTickMark val="none"/>
        <c:minorTickMark val="none"/>
        <c:tickLblPos val="nextTo"/>
        <c:txPr>
          <a:bodyPr/>
          <a:lstStyle/>
          <a:p>
            <a:pPr>
              <a:defRPr sz="800"/>
            </a:pPr>
            <a:endParaRPr lang="en-US"/>
          </a:p>
        </c:txPr>
        <c:crossAx val="2089717672"/>
        <c:crosses val="autoZero"/>
        <c:crossBetween val="between"/>
      </c:valAx>
      <c:spPr>
        <a:ln>
          <a:solidFill>
            <a:schemeClr val="tx1"/>
          </a:solidFill>
        </a:ln>
      </c:spPr>
    </c:plotArea>
    <c:legend>
      <c:legendPos val="t"/>
      <c:layout>
        <c:manualLayout>
          <c:xMode val="edge"/>
          <c:yMode val="edge"/>
          <c:x val="0.668660151618103"/>
          <c:y val="0.0324074074074074"/>
          <c:w val="0.257398377233303"/>
          <c:h val="0.148532006415865"/>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latin typeface="+mn-lt"/>
              </a:defRPr>
            </a:pPr>
            <a:r>
              <a:rPr lang="en-US" sz="1000">
                <a:latin typeface="+mj-lt"/>
              </a:rPr>
              <a:t>Behaviour when Consumables</a:t>
            </a:r>
          </a:p>
          <a:p>
            <a:pPr algn="l">
              <a:defRPr>
                <a:latin typeface="+mn-lt"/>
              </a:defRPr>
            </a:pPr>
            <a:r>
              <a:rPr lang="en-US" sz="1000">
                <a:latin typeface="+mj-lt"/>
              </a:rPr>
              <a:t> are</a:t>
            </a:r>
            <a:r>
              <a:rPr lang="en-US" sz="1000" baseline="0">
                <a:latin typeface="+mj-lt"/>
              </a:rPr>
              <a:t> Exhausted</a:t>
            </a:r>
            <a:endParaRPr lang="en-US" sz="1000">
              <a:latin typeface="+mj-lt"/>
            </a:endParaRPr>
          </a:p>
        </c:rich>
      </c:tx>
      <c:layout>
        <c:manualLayout>
          <c:xMode val="edge"/>
          <c:yMode val="edge"/>
          <c:x val="0.0353908573928259"/>
          <c:y val="0.037037037037037"/>
        </c:manualLayout>
      </c:layout>
      <c:overlay val="0"/>
    </c:title>
    <c:autoTitleDeleted val="0"/>
    <c:plotArea>
      <c:layout>
        <c:manualLayout>
          <c:layoutTarget val="inner"/>
          <c:xMode val="edge"/>
          <c:yMode val="edge"/>
          <c:x val="0.294578207290449"/>
          <c:y val="0.262775955088947"/>
          <c:w val="0.640761741181827"/>
          <c:h val="0.677038859725868"/>
        </c:manualLayout>
      </c:layout>
      <c:barChart>
        <c:barDir val="bar"/>
        <c:grouping val="clustered"/>
        <c:varyColors val="0"/>
        <c:ser>
          <c:idx val="0"/>
          <c:order val="0"/>
          <c:tx>
            <c:strRef>
              <c:f>Ethnicity!$NR$481</c:f>
              <c:strCache>
                <c:ptCount val="1"/>
                <c:pt idx="0">
                  <c:v>IDP Camp</c:v>
                </c:pt>
              </c:strCache>
            </c:strRef>
          </c:tx>
          <c:spPr>
            <a:solidFill>
              <a:srgbClr val="FFFF00"/>
            </a:solidFill>
            <a:ln>
              <a:solidFill>
                <a:schemeClr val="tx1"/>
              </a:solidFill>
            </a:ln>
          </c:spPr>
          <c:invertIfNegative val="0"/>
          <c:dLbls>
            <c:dLbl>
              <c:idx val="4"/>
              <c:delete val="1"/>
            </c:dLbl>
            <c:txPr>
              <a:bodyPr/>
              <a:lstStyle/>
              <a:p>
                <a:pPr>
                  <a:defRPr sz="800" b="1">
                    <a:latin typeface="+mj-lt"/>
                  </a:defRPr>
                </a:pPr>
                <a:endParaRPr lang="en-US"/>
              </a:p>
            </c:txPr>
            <c:showLegendKey val="0"/>
            <c:showVal val="1"/>
            <c:showCatName val="0"/>
            <c:showSerName val="0"/>
            <c:showPercent val="0"/>
            <c:showBubbleSize val="0"/>
            <c:showLeaderLines val="0"/>
          </c:dLbls>
          <c:cat>
            <c:strRef>
              <c:f>Ethnicity!$NS$480:$NX$480</c:f>
              <c:strCache>
                <c:ptCount val="6"/>
                <c:pt idx="0">
                  <c:v>Buy from Market</c:v>
                </c:pt>
                <c:pt idx="1">
                  <c:v>Wait for NGO</c:v>
                </c:pt>
                <c:pt idx="2">
                  <c:v>Use traditional cloth</c:v>
                </c:pt>
                <c:pt idx="3">
                  <c:v>Buy from local shop</c:v>
                </c:pt>
                <c:pt idx="4">
                  <c:v>Other</c:v>
                </c:pt>
                <c:pt idx="5">
                  <c:v>No answer</c:v>
                </c:pt>
              </c:strCache>
            </c:strRef>
          </c:cat>
          <c:val>
            <c:numRef>
              <c:f>Ethnicity!$NS$481:$NX$481</c:f>
              <c:numCache>
                <c:formatCode>0%</c:formatCode>
                <c:ptCount val="6"/>
                <c:pt idx="0">
                  <c:v>0.345454545454545</c:v>
                </c:pt>
                <c:pt idx="1">
                  <c:v>0.259090909090909</c:v>
                </c:pt>
                <c:pt idx="2">
                  <c:v>0.222727272727273</c:v>
                </c:pt>
                <c:pt idx="3">
                  <c:v>0.0863636363636363</c:v>
                </c:pt>
                <c:pt idx="4">
                  <c:v>0.00909090909090909</c:v>
                </c:pt>
                <c:pt idx="5">
                  <c:v>0.0772727272727273</c:v>
                </c:pt>
              </c:numCache>
            </c:numRef>
          </c:val>
        </c:ser>
        <c:ser>
          <c:idx val="1"/>
          <c:order val="1"/>
          <c:tx>
            <c:strRef>
              <c:f>Ethnicity!$NR$482</c:f>
              <c:strCache>
                <c:ptCount val="1"/>
                <c:pt idx="0">
                  <c:v>Village</c:v>
                </c:pt>
              </c:strCache>
            </c:strRef>
          </c:tx>
          <c:spPr>
            <a:solidFill>
              <a:schemeClr val="tx2"/>
            </a:solidFill>
            <a:ln>
              <a:solidFill>
                <a:schemeClr val="tx1"/>
              </a:solidFill>
            </a:ln>
          </c:spPr>
          <c:invertIfNegative val="0"/>
          <c:dLbls>
            <c:dLbl>
              <c:idx val="4"/>
              <c:delete val="1"/>
            </c:dLbl>
            <c:txPr>
              <a:bodyPr/>
              <a:lstStyle/>
              <a:p>
                <a:pPr>
                  <a:defRPr sz="800"/>
                </a:pPr>
                <a:endParaRPr lang="en-US"/>
              </a:p>
            </c:txPr>
            <c:showLegendKey val="0"/>
            <c:showVal val="1"/>
            <c:showCatName val="0"/>
            <c:showSerName val="0"/>
            <c:showPercent val="0"/>
            <c:showBubbleSize val="0"/>
            <c:showLeaderLines val="0"/>
          </c:dLbls>
          <c:cat>
            <c:strRef>
              <c:f>Ethnicity!$NS$480:$NX$480</c:f>
              <c:strCache>
                <c:ptCount val="6"/>
                <c:pt idx="0">
                  <c:v>Buy from Market</c:v>
                </c:pt>
                <c:pt idx="1">
                  <c:v>Wait for NGO</c:v>
                </c:pt>
                <c:pt idx="2">
                  <c:v>Use traditional cloth</c:v>
                </c:pt>
                <c:pt idx="3">
                  <c:v>Buy from local shop</c:v>
                </c:pt>
                <c:pt idx="4">
                  <c:v>Other</c:v>
                </c:pt>
                <c:pt idx="5">
                  <c:v>No answer</c:v>
                </c:pt>
              </c:strCache>
            </c:strRef>
          </c:cat>
          <c:val>
            <c:numRef>
              <c:f>Ethnicity!$NS$482:$NX$482</c:f>
              <c:numCache>
                <c:formatCode>0%</c:formatCode>
                <c:ptCount val="6"/>
                <c:pt idx="0">
                  <c:v>0.240384615384615</c:v>
                </c:pt>
                <c:pt idx="1">
                  <c:v>0.0865384615384615</c:v>
                </c:pt>
                <c:pt idx="2">
                  <c:v>0.182692307692308</c:v>
                </c:pt>
                <c:pt idx="3">
                  <c:v>0.0576923076923077</c:v>
                </c:pt>
                <c:pt idx="4">
                  <c:v>0.00480769230769231</c:v>
                </c:pt>
                <c:pt idx="5">
                  <c:v>0.427884615384615</c:v>
                </c:pt>
              </c:numCache>
            </c:numRef>
          </c:val>
        </c:ser>
        <c:dLbls>
          <c:showLegendKey val="0"/>
          <c:showVal val="0"/>
          <c:showCatName val="0"/>
          <c:showSerName val="0"/>
          <c:showPercent val="0"/>
          <c:showBubbleSize val="0"/>
        </c:dLbls>
        <c:gapWidth val="50"/>
        <c:axId val="2101220104"/>
        <c:axId val="2101223160"/>
      </c:barChart>
      <c:catAx>
        <c:axId val="2101220104"/>
        <c:scaling>
          <c:orientation val="maxMin"/>
        </c:scaling>
        <c:delete val="0"/>
        <c:axPos val="l"/>
        <c:majorTickMark val="out"/>
        <c:minorTickMark val="none"/>
        <c:tickLblPos val="nextTo"/>
        <c:txPr>
          <a:bodyPr/>
          <a:lstStyle/>
          <a:p>
            <a:pPr algn="r">
              <a:defRPr sz="900">
                <a:latin typeface="+mj-lt"/>
              </a:defRPr>
            </a:pPr>
            <a:endParaRPr lang="en-US"/>
          </a:p>
        </c:txPr>
        <c:crossAx val="2101223160"/>
        <c:crosses val="autoZero"/>
        <c:auto val="1"/>
        <c:lblAlgn val="ctr"/>
        <c:lblOffset val="100"/>
        <c:noMultiLvlLbl val="0"/>
      </c:catAx>
      <c:valAx>
        <c:axId val="2101223160"/>
        <c:scaling>
          <c:orientation val="minMax"/>
        </c:scaling>
        <c:delete val="0"/>
        <c:axPos val="t"/>
        <c:majorGridlines/>
        <c:numFmt formatCode="0%" sourceLinked="1"/>
        <c:majorTickMark val="out"/>
        <c:minorTickMark val="none"/>
        <c:tickLblPos val="nextTo"/>
        <c:txPr>
          <a:bodyPr/>
          <a:lstStyle/>
          <a:p>
            <a:pPr>
              <a:defRPr sz="800"/>
            </a:pPr>
            <a:endParaRPr lang="en-US"/>
          </a:p>
        </c:txPr>
        <c:crossAx val="2101220104"/>
        <c:crosses val="autoZero"/>
        <c:crossBetween val="between"/>
      </c:valAx>
      <c:spPr>
        <a:ln>
          <a:solidFill>
            <a:schemeClr val="tx1"/>
          </a:solidFill>
        </a:ln>
      </c:spPr>
    </c:plotArea>
    <c:legend>
      <c:legendPos val="t"/>
      <c:layout>
        <c:manualLayout>
          <c:xMode val="edge"/>
          <c:yMode val="edge"/>
          <c:x val="0.696448818897638"/>
          <c:y val="0.0231481481481481"/>
          <c:w val="0.229342665500146"/>
          <c:h val="0.143902376786235"/>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latin typeface="+mj-lt"/>
              </a:defRPr>
            </a:pPr>
            <a:r>
              <a:rPr lang="en-US" sz="1200">
                <a:latin typeface="+mj-lt"/>
              </a:rPr>
              <a:t>Observed Sanitary Risks</a:t>
            </a:r>
          </a:p>
        </c:rich>
      </c:tx>
      <c:layout>
        <c:manualLayout>
          <c:xMode val="edge"/>
          <c:yMode val="edge"/>
          <c:x val="0.0286052785068533"/>
          <c:y val="0.0"/>
        </c:manualLayout>
      </c:layout>
      <c:overlay val="0"/>
    </c:title>
    <c:autoTitleDeleted val="0"/>
    <c:plotArea>
      <c:layout>
        <c:manualLayout>
          <c:layoutTarget val="inner"/>
          <c:xMode val="edge"/>
          <c:yMode val="edge"/>
          <c:x val="0.467232915330028"/>
          <c:y val="0.130865798886895"/>
          <c:w val="0.469302517740838"/>
          <c:h val="0.840217192553398"/>
        </c:manualLayout>
      </c:layout>
      <c:barChart>
        <c:barDir val="bar"/>
        <c:grouping val="clustered"/>
        <c:varyColors val="0"/>
        <c:ser>
          <c:idx val="2"/>
          <c:order val="0"/>
          <c:tx>
            <c:strRef>
              <c:f>Database!$OI$462</c:f>
              <c:strCache>
                <c:ptCount val="1"/>
                <c:pt idx="0">
                  <c:v>TOTAL</c:v>
                </c:pt>
              </c:strCache>
            </c:strRef>
          </c:tx>
          <c:spPr>
            <a:solidFill>
              <a:srgbClr val="008000"/>
            </a:solidFill>
            <a:ln>
              <a:solidFill>
                <a:schemeClr val="tx1"/>
              </a:solidFill>
            </a:ln>
          </c:spPr>
          <c:invertIfNegative val="0"/>
          <c:dPt>
            <c:idx val="0"/>
            <c:invertIfNegative val="0"/>
            <c:bubble3D val="0"/>
            <c:spPr>
              <a:solidFill>
                <a:schemeClr val="accent5">
                  <a:lumMod val="60000"/>
                  <a:lumOff val="40000"/>
                </a:schemeClr>
              </a:solidFill>
              <a:ln>
                <a:solidFill>
                  <a:schemeClr val="tx1"/>
                </a:solidFill>
              </a:ln>
            </c:spPr>
          </c:dPt>
          <c:dPt>
            <c:idx val="2"/>
            <c:invertIfNegative val="0"/>
            <c:bubble3D val="0"/>
            <c:spPr>
              <a:solidFill>
                <a:schemeClr val="accent6">
                  <a:lumMod val="60000"/>
                  <a:lumOff val="40000"/>
                </a:schemeClr>
              </a:solidFill>
              <a:ln>
                <a:solidFill>
                  <a:schemeClr val="tx1"/>
                </a:solidFill>
              </a:ln>
            </c:spPr>
          </c:dPt>
          <c:dPt>
            <c:idx val="3"/>
            <c:invertIfNegative val="0"/>
            <c:bubble3D val="0"/>
            <c:spPr>
              <a:solidFill>
                <a:schemeClr val="accent6">
                  <a:lumMod val="60000"/>
                  <a:lumOff val="40000"/>
                </a:schemeClr>
              </a:solidFill>
              <a:ln>
                <a:solidFill>
                  <a:schemeClr val="tx1"/>
                </a:solidFill>
              </a:ln>
            </c:spPr>
          </c:dPt>
          <c:dPt>
            <c:idx val="8"/>
            <c:invertIfNegative val="0"/>
            <c:bubble3D val="0"/>
            <c:spPr>
              <a:solidFill>
                <a:schemeClr val="accent5">
                  <a:lumMod val="60000"/>
                  <a:lumOff val="40000"/>
                </a:schemeClr>
              </a:solidFill>
              <a:ln>
                <a:solidFill>
                  <a:schemeClr val="tx1"/>
                </a:solidFill>
              </a:ln>
            </c:spPr>
          </c:dPt>
          <c:dPt>
            <c:idx val="10"/>
            <c:invertIfNegative val="0"/>
            <c:bubble3D val="0"/>
            <c:spPr>
              <a:solidFill>
                <a:schemeClr val="accent6">
                  <a:lumMod val="60000"/>
                  <a:lumOff val="40000"/>
                </a:schemeClr>
              </a:solidFill>
              <a:ln>
                <a:solidFill>
                  <a:schemeClr val="tx1"/>
                </a:solidFill>
              </a:ln>
            </c:spPr>
          </c:dPt>
          <c:dPt>
            <c:idx val="11"/>
            <c:invertIfNegative val="0"/>
            <c:bubble3D val="0"/>
            <c:spPr>
              <a:solidFill>
                <a:schemeClr val="accent5">
                  <a:lumMod val="60000"/>
                  <a:lumOff val="40000"/>
                </a:schemeClr>
              </a:solidFill>
              <a:ln>
                <a:solidFill>
                  <a:schemeClr val="tx1"/>
                </a:solidFill>
              </a:ln>
            </c:spPr>
          </c:dPt>
          <c:dPt>
            <c:idx val="13"/>
            <c:invertIfNegative val="0"/>
            <c:bubble3D val="0"/>
            <c:spPr>
              <a:solidFill>
                <a:schemeClr val="accent6">
                  <a:lumMod val="60000"/>
                  <a:lumOff val="40000"/>
                </a:schemeClr>
              </a:solidFill>
              <a:ln>
                <a:solidFill>
                  <a:schemeClr val="tx1"/>
                </a:solidFill>
              </a:ln>
            </c:spPr>
          </c:dPt>
          <c:dLbls>
            <c:txPr>
              <a:bodyPr/>
              <a:lstStyle/>
              <a:p>
                <a:pPr>
                  <a:defRPr sz="800"/>
                </a:pPr>
                <a:endParaRPr lang="en-US"/>
              </a:p>
            </c:txPr>
            <c:showLegendKey val="0"/>
            <c:showVal val="1"/>
            <c:showCatName val="0"/>
            <c:showSerName val="0"/>
            <c:showPercent val="0"/>
            <c:showBubbleSize val="0"/>
            <c:showLeaderLines val="0"/>
          </c:dLbls>
          <c:cat>
            <c:strRef>
              <c:f>Database!$OJ$459:$OW$459</c:f>
              <c:strCache>
                <c:ptCount val="14"/>
                <c:pt idx="0">
                  <c:v>Uncovered cooked food</c:v>
                </c:pt>
                <c:pt idx="1">
                  <c:v>No soap</c:v>
                </c:pt>
                <c:pt idx="2">
                  <c:v>No CWF</c:v>
                </c:pt>
                <c:pt idx="3">
                  <c:v>No utensil for safely extracting DW</c:v>
                </c:pt>
                <c:pt idx="4">
                  <c:v>Poor drainage</c:v>
                </c:pt>
                <c:pt idx="5">
                  <c:v>Dirty appearance</c:v>
                </c:pt>
                <c:pt idx="6">
                  <c:v>Uncovered water storage container</c:v>
                </c:pt>
                <c:pt idx="7">
                  <c:v>DW container on ground</c:v>
                </c:pt>
                <c:pt idx="8">
                  <c:v>Dirty plates etc</c:v>
                </c:pt>
                <c:pt idx="9">
                  <c:v>Insects</c:v>
                </c:pt>
                <c:pt idx="10">
                  <c:v>No Separate DW Container</c:v>
                </c:pt>
                <c:pt idx="11">
                  <c:v>Food waste evident</c:v>
                </c:pt>
                <c:pt idx="12">
                  <c:v>Puddles of water_x000d_around the water storage container</c:v>
                </c:pt>
                <c:pt idx="13">
                  <c:v>Uncovered DW container</c:v>
                </c:pt>
              </c:strCache>
            </c:strRef>
          </c:cat>
          <c:val>
            <c:numRef>
              <c:f>Database!$OJ$462:$OW$462</c:f>
              <c:numCache>
                <c:formatCode>0%</c:formatCode>
                <c:ptCount val="14"/>
                <c:pt idx="0">
                  <c:v>0.691588785046729</c:v>
                </c:pt>
                <c:pt idx="1">
                  <c:v>0.581775700934579</c:v>
                </c:pt>
                <c:pt idx="2">
                  <c:v>0.490654205607477</c:v>
                </c:pt>
                <c:pt idx="3">
                  <c:v>0.385514018691589</c:v>
                </c:pt>
                <c:pt idx="4">
                  <c:v>0.371495327102804</c:v>
                </c:pt>
                <c:pt idx="5">
                  <c:v>0.36214953271028</c:v>
                </c:pt>
                <c:pt idx="6">
                  <c:v>0.364485981308411</c:v>
                </c:pt>
                <c:pt idx="7">
                  <c:v>0.271028037383178</c:v>
                </c:pt>
                <c:pt idx="8">
                  <c:v>0.252336448598131</c:v>
                </c:pt>
                <c:pt idx="9">
                  <c:v>0.25</c:v>
                </c:pt>
                <c:pt idx="10">
                  <c:v>0.228971962616822</c:v>
                </c:pt>
                <c:pt idx="11">
                  <c:v>0.177570093457944</c:v>
                </c:pt>
                <c:pt idx="12">
                  <c:v>0.184579439252336</c:v>
                </c:pt>
                <c:pt idx="13">
                  <c:v>0.170560747663551</c:v>
                </c:pt>
              </c:numCache>
            </c:numRef>
          </c:val>
        </c:ser>
        <c:dLbls>
          <c:showLegendKey val="0"/>
          <c:showVal val="0"/>
          <c:showCatName val="0"/>
          <c:showSerName val="0"/>
          <c:showPercent val="0"/>
          <c:showBubbleSize val="0"/>
        </c:dLbls>
        <c:gapWidth val="50"/>
        <c:axId val="2101262104"/>
        <c:axId val="2101265192"/>
      </c:barChart>
      <c:catAx>
        <c:axId val="2101262104"/>
        <c:scaling>
          <c:orientation val="maxMin"/>
        </c:scaling>
        <c:delete val="0"/>
        <c:axPos val="l"/>
        <c:majorTickMark val="out"/>
        <c:minorTickMark val="none"/>
        <c:tickLblPos val="nextTo"/>
        <c:txPr>
          <a:bodyPr/>
          <a:lstStyle/>
          <a:p>
            <a:pPr>
              <a:defRPr sz="900"/>
            </a:pPr>
            <a:endParaRPr lang="en-US"/>
          </a:p>
        </c:txPr>
        <c:crossAx val="2101265192"/>
        <c:crosses val="autoZero"/>
        <c:auto val="1"/>
        <c:lblAlgn val="ctr"/>
        <c:lblOffset val="100"/>
        <c:noMultiLvlLbl val="0"/>
      </c:catAx>
      <c:valAx>
        <c:axId val="2101265192"/>
        <c:scaling>
          <c:orientation val="minMax"/>
        </c:scaling>
        <c:delete val="0"/>
        <c:axPos val="t"/>
        <c:majorGridlines/>
        <c:numFmt formatCode="0%" sourceLinked="1"/>
        <c:majorTickMark val="out"/>
        <c:minorTickMark val="none"/>
        <c:tickLblPos val="nextTo"/>
        <c:txPr>
          <a:bodyPr/>
          <a:lstStyle/>
          <a:p>
            <a:pPr>
              <a:defRPr sz="800"/>
            </a:pPr>
            <a:endParaRPr lang="en-US"/>
          </a:p>
        </c:txPr>
        <c:crossAx val="2101262104"/>
        <c:crosses val="autoZero"/>
        <c:crossBetween val="between"/>
        <c:majorUnit val="0.2"/>
      </c:valAx>
      <c:spPr>
        <a:ln>
          <a:solidFill>
            <a:schemeClr val="tx1"/>
          </a:solidFill>
        </a:ln>
      </c:spPr>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Age</a:t>
            </a:r>
            <a:r>
              <a:rPr lang="en-US" sz="1000" baseline="0">
                <a:latin typeface="+mj-lt"/>
              </a:rPr>
              <a:t> of Respondent</a:t>
            </a:r>
            <a:endParaRPr lang="en-US" sz="1000">
              <a:latin typeface="+mj-lt"/>
            </a:endParaRPr>
          </a:p>
        </c:rich>
      </c:tx>
      <c:layout/>
      <c:overlay val="0"/>
    </c:title>
    <c:autoTitleDeleted val="0"/>
    <c:plotArea>
      <c:layout/>
      <c:barChart>
        <c:barDir val="col"/>
        <c:grouping val="clustered"/>
        <c:varyColors val="0"/>
        <c:ser>
          <c:idx val="1"/>
          <c:order val="0"/>
          <c:tx>
            <c:strRef>
              <c:f>'db2 pt'!$N$439</c:f>
              <c:strCache>
                <c:ptCount val="1"/>
                <c:pt idx="0">
                  <c:v>%</c:v>
                </c:pt>
              </c:strCache>
            </c:strRef>
          </c:tx>
          <c:spPr>
            <a:solidFill>
              <a:srgbClr val="008000"/>
            </a:solidFill>
            <a:ln>
              <a:solidFill>
                <a:schemeClr val="tx1"/>
              </a:solidFill>
            </a:ln>
          </c:spPr>
          <c:invertIfNegative val="0"/>
          <c:dPt>
            <c:idx val="4"/>
            <c:invertIfNegative val="0"/>
            <c:bubble3D val="0"/>
            <c:spPr>
              <a:solidFill>
                <a:srgbClr val="FF0000"/>
              </a:solidFill>
              <a:ln>
                <a:solidFill>
                  <a:schemeClr val="tx1"/>
                </a:solidFill>
              </a:ln>
            </c:spPr>
          </c:dPt>
          <c:dLbls>
            <c:txPr>
              <a:bodyPr/>
              <a:lstStyle/>
              <a:p>
                <a:pPr>
                  <a:defRPr sz="800" b="1"/>
                </a:pPr>
                <a:endParaRPr lang="en-US"/>
              </a:p>
            </c:txPr>
            <c:showLegendKey val="0"/>
            <c:showVal val="1"/>
            <c:showCatName val="0"/>
            <c:showSerName val="0"/>
            <c:showPercent val="0"/>
            <c:showBubbleSize val="0"/>
            <c:showLeaderLines val="0"/>
          </c:dLbls>
          <c:cat>
            <c:strRef>
              <c:f>'db2 pt'!$L$440:$L$444</c:f>
              <c:strCache>
                <c:ptCount val="5"/>
                <c:pt idx="0">
                  <c:v>Under 18 Yrs</c:v>
                </c:pt>
                <c:pt idx="1">
                  <c:v>1- 30 yrs</c:v>
                </c:pt>
                <c:pt idx="2">
                  <c:v>30 - 60 yrs</c:v>
                </c:pt>
                <c:pt idx="3">
                  <c:v> +60 yrs</c:v>
                </c:pt>
                <c:pt idx="4">
                  <c:v>Missing</c:v>
                </c:pt>
              </c:strCache>
            </c:strRef>
          </c:cat>
          <c:val>
            <c:numRef>
              <c:f>'db2 pt'!$N$440:$N$444</c:f>
              <c:numCache>
                <c:formatCode>0%</c:formatCode>
                <c:ptCount val="5"/>
                <c:pt idx="0">
                  <c:v>0.00700934579439252</c:v>
                </c:pt>
                <c:pt idx="1">
                  <c:v>0.352803738317757</c:v>
                </c:pt>
                <c:pt idx="2">
                  <c:v>0.525700934579439</c:v>
                </c:pt>
                <c:pt idx="3">
                  <c:v>0.0514018691588785</c:v>
                </c:pt>
                <c:pt idx="4">
                  <c:v>0.0630841121495327</c:v>
                </c:pt>
              </c:numCache>
            </c:numRef>
          </c:val>
        </c:ser>
        <c:dLbls>
          <c:showLegendKey val="0"/>
          <c:showVal val="0"/>
          <c:showCatName val="0"/>
          <c:showSerName val="0"/>
          <c:showPercent val="0"/>
          <c:showBubbleSize val="0"/>
        </c:dLbls>
        <c:gapWidth val="50"/>
        <c:axId val="2088901496"/>
        <c:axId val="2088904552"/>
      </c:barChart>
      <c:catAx>
        <c:axId val="2088901496"/>
        <c:scaling>
          <c:orientation val="minMax"/>
        </c:scaling>
        <c:delete val="0"/>
        <c:axPos val="b"/>
        <c:majorTickMark val="out"/>
        <c:minorTickMark val="none"/>
        <c:tickLblPos val="nextTo"/>
        <c:txPr>
          <a:bodyPr/>
          <a:lstStyle/>
          <a:p>
            <a:pPr>
              <a:defRPr sz="900">
                <a:latin typeface="+mj-lt"/>
              </a:defRPr>
            </a:pPr>
            <a:endParaRPr lang="en-US"/>
          </a:p>
        </c:txPr>
        <c:crossAx val="2088904552"/>
        <c:crosses val="autoZero"/>
        <c:auto val="1"/>
        <c:lblAlgn val="ctr"/>
        <c:lblOffset val="100"/>
        <c:noMultiLvlLbl val="0"/>
      </c:catAx>
      <c:valAx>
        <c:axId val="2088904552"/>
        <c:scaling>
          <c:orientation val="minMax"/>
        </c:scaling>
        <c:delete val="0"/>
        <c:axPos val="l"/>
        <c:majorGridlines/>
        <c:numFmt formatCode="0%" sourceLinked="1"/>
        <c:majorTickMark val="out"/>
        <c:minorTickMark val="none"/>
        <c:tickLblPos val="nextTo"/>
        <c:txPr>
          <a:bodyPr/>
          <a:lstStyle/>
          <a:p>
            <a:pPr>
              <a:defRPr sz="800"/>
            </a:pPr>
            <a:endParaRPr lang="en-US"/>
          </a:p>
        </c:txPr>
        <c:crossAx val="2088901496"/>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900285450308203"/>
          <c:y val="0.121067290169515"/>
          <c:w val="0.851685466856047"/>
          <c:h val="0.831625577370514"/>
        </c:manualLayout>
      </c:layout>
      <c:barChart>
        <c:barDir val="bar"/>
        <c:grouping val="clustered"/>
        <c:varyColors val="0"/>
        <c:ser>
          <c:idx val="0"/>
          <c:order val="0"/>
          <c:tx>
            <c:strRef>
              <c:f>Database!$OI$460</c:f>
              <c:strCache>
                <c:ptCount val="1"/>
                <c:pt idx="0">
                  <c:v>IDP Camps</c:v>
                </c:pt>
              </c:strCache>
            </c:strRef>
          </c:tx>
          <c:spPr>
            <a:solidFill>
              <a:srgbClr val="FFFF00"/>
            </a:solidFill>
            <a:ln>
              <a:solidFill>
                <a:schemeClr val="tx1"/>
              </a:solidFill>
            </a:ln>
          </c:spPr>
          <c:invertIfNegative val="0"/>
          <c:cat>
            <c:strRef>
              <c:f>Database!$OJ$459:$OW$459</c:f>
              <c:strCache>
                <c:ptCount val="14"/>
                <c:pt idx="0">
                  <c:v>Uncovered cooked food</c:v>
                </c:pt>
                <c:pt idx="1">
                  <c:v>No soap</c:v>
                </c:pt>
                <c:pt idx="2">
                  <c:v>No CWF</c:v>
                </c:pt>
                <c:pt idx="3">
                  <c:v>No utensil for safely extracting DW</c:v>
                </c:pt>
                <c:pt idx="4">
                  <c:v>Poor drainage</c:v>
                </c:pt>
                <c:pt idx="5">
                  <c:v>Dirty appearance</c:v>
                </c:pt>
                <c:pt idx="6">
                  <c:v>Uncovered water storage container</c:v>
                </c:pt>
                <c:pt idx="7">
                  <c:v>DW container on ground</c:v>
                </c:pt>
                <c:pt idx="8">
                  <c:v>Dirty plates etc</c:v>
                </c:pt>
                <c:pt idx="9">
                  <c:v>Insects</c:v>
                </c:pt>
                <c:pt idx="10">
                  <c:v>No Separate DW Container</c:v>
                </c:pt>
                <c:pt idx="11">
                  <c:v>Food waste evident</c:v>
                </c:pt>
                <c:pt idx="12">
                  <c:v>Puddles of water_x000d_around the water storage container</c:v>
                </c:pt>
                <c:pt idx="13">
                  <c:v>Uncovered DW container</c:v>
                </c:pt>
              </c:strCache>
            </c:strRef>
          </c:cat>
          <c:val>
            <c:numRef>
              <c:f>Database!$OJ$460:$OW$460</c:f>
              <c:numCache>
                <c:formatCode>0%</c:formatCode>
                <c:ptCount val="14"/>
                <c:pt idx="0">
                  <c:v>0.663636363636363</c:v>
                </c:pt>
                <c:pt idx="1">
                  <c:v>0.5</c:v>
                </c:pt>
                <c:pt idx="2">
                  <c:v>0.363636363636364</c:v>
                </c:pt>
                <c:pt idx="3">
                  <c:v>0.318181818181818</c:v>
                </c:pt>
                <c:pt idx="4">
                  <c:v>0.413636363636364</c:v>
                </c:pt>
                <c:pt idx="5">
                  <c:v>0.368181818181818</c:v>
                </c:pt>
                <c:pt idx="6">
                  <c:v>0.340909090909091</c:v>
                </c:pt>
                <c:pt idx="7">
                  <c:v>0.281818181818182</c:v>
                </c:pt>
                <c:pt idx="8">
                  <c:v>0.254545454545454</c:v>
                </c:pt>
                <c:pt idx="9">
                  <c:v>0.254545454545454</c:v>
                </c:pt>
                <c:pt idx="10">
                  <c:v>0.190909090909091</c:v>
                </c:pt>
                <c:pt idx="11">
                  <c:v>0.154545454545455</c:v>
                </c:pt>
                <c:pt idx="12">
                  <c:v>0.181818181818182</c:v>
                </c:pt>
                <c:pt idx="13">
                  <c:v>0.213636363636364</c:v>
                </c:pt>
              </c:numCache>
            </c:numRef>
          </c:val>
        </c:ser>
        <c:ser>
          <c:idx val="1"/>
          <c:order val="1"/>
          <c:tx>
            <c:strRef>
              <c:f>Database!$OI$461</c:f>
              <c:strCache>
                <c:ptCount val="1"/>
                <c:pt idx="0">
                  <c:v>Village</c:v>
                </c:pt>
              </c:strCache>
            </c:strRef>
          </c:tx>
          <c:spPr>
            <a:solidFill>
              <a:schemeClr val="tx2"/>
            </a:solidFill>
            <a:ln>
              <a:solidFill>
                <a:schemeClr val="tx1"/>
              </a:solidFill>
            </a:ln>
          </c:spPr>
          <c:invertIfNegative val="0"/>
          <c:cat>
            <c:strRef>
              <c:f>Database!$OJ$459:$OW$459</c:f>
              <c:strCache>
                <c:ptCount val="14"/>
                <c:pt idx="0">
                  <c:v>Uncovered cooked food</c:v>
                </c:pt>
                <c:pt idx="1">
                  <c:v>No soap</c:v>
                </c:pt>
                <c:pt idx="2">
                  <c:v>No CWF</c:v>
                </c:pt>
                <c:pt idx="3">
                  <c:v>No utensil for safely extracting DW</c:v>
                </c:pt>
                <c:pt idx="4">
                  <c:v>Poor drainage</c:v>
                </c:pt>
                <c:pt idx="5">
                  <c:v>Dirty appearance</c:v>
                </c:pt>
                <c:pt idx="6">
                  <c:v>Uncovered water storage container</c:v>
                </c:pt>
                <c:pt idx="7">
                  <c:v>DW container on ground</c:v>
                </c:pt>
                <c:pt idx="8">
                  <c:v>Dirty plates etc</c:v>
                </c:pt>
                <c:pt idx="9">
                  <c:v>Insects</c:v>
                </c:pt>
                <c:pt idx="10">
                  <c:v>No Separate DW Container</c:v>
                </c:pt>
                <c:pt idx="11">
                  <c:v>Food waste evident</c:v>
                </c:pt>
                <c:pt idx="12">
                  <c:v>Puddles of water_x000d_around the water storage container</c:v>
                </c:pt>
                <c:pt idx="13">
                  <c:v>Uncovered DW container</c:v>
                </c:pt>
              </c:strCache>
            </c:strRef>
          </c:cat>
          <c:val>
            <c:numRef>
              <c:f>Database!$OJ$461:$OW$461</c:f>
              <c:numCache>
                <c:formatCode>0%</c:formatCode>
                <c:ptCount val="14"/>
                <c:pt idx="0">
                  <c:v>0.721153846153846</c:v>
                </c:pt>
                <c:pt idx="1">
                  <c:v>0.668269230769231</c:v>
                </c:pt>
                <c:pt idx="2">
                  <c:v>0.625</c:v>
                </c:pt>
                <c:pt idx="3">
                  <c:v>0.456730769230769</c:v>
                </c:pt>
                <c:pt idx="4">
                  <c:v>0.326923076923077</c:v>
                </c:pt>
                <c:pt idx="5">
                  <c:v>0.355769230769231</c:v>
                </c:pt>
                <c:pt idx="6">
                  <c:v>0.389423076923077</c:v>
                </c:pt>
                <c:pt idx="7">
                  <c:v>0.259615384615385</c:v>
                </c:pt>
                <c:pt idx="8">
                  <c:v>0.25</c:v>
                </c:pt>
                <c:pt idx="9">
                  <c:v>0.245192307692308</c:v>
                </c:pt>
                <c:pt idx="10">
                  <c:v>0.269230769230769</c:v>
                </c:pt>
                <c:pt idx="11">
                  <c:v>0.201923076923077</c:v>
                </c:pt>
                <c:pt idx="12">
                  <c:v>0.1875</c:v>
                </c:pt>
                <c:pt idx="13">
                  <c:v>0.125</c:v>
                </c:pt>
              </c:numCache>
            </c:numRef>
          </c:val>
        </c:ser>
        <c:dLbls>
          <c:showLegendKey val="0"/>
          <c:showVal val="0"/>
          <c:showCatName val="0"/>
          <c:showSerName val="0"/>
          <c:showPercent val="0"/>
          <c:showBubbleSize val="0"/>
        </c:dLbls>
        <c:gapWidth val="50"/>
        <c:axId val="2101293816"/>
        <c:axId val="2101296792"/>
      </c:barChart>
      <c:catAx>
        <c:axId val="2101293816"/>
        <c:scaling>
          <c:orientation val="maxMin"/>
        </c:scaling>
        <c:delete val="1"/>
        <c:axPos val="r"/>
        <c:majorTickMark val="out"/>
        <c:minorTickMark val="none"/>
        <c:tickLblPos val="nextTo"/>
        <c:crossAx val="2101296792"/>
        <c:crosses val="autoZero"/>
        <c:auto val="1"/>
        <c:lblAlgn val="ctr"/>
        <c:lblOffset val="100"/>
        <c:noMultiLvlLbl val="0"/>
      </c:catAx>
      <c:valAx>
        <c:axId val="2101296792"/>
        <c:scaling>
          <c:orientation val="maxMin"/>
        </c:scaling>
        <c:delete val="0"/>
        <c:axPos val="t"/>
        <c:majorGridlines/>
        <c:numFmt formatCode="0%" sourceLinked="1"/>
        <c:majorTickMark val="out"/>
        <c:minorTickMark val="none"/>
        <c:tickLblPos val="nextTo"/>
        <c:txPr>
          <a:bodyPr/>
          <a:lstStyle/>
          <a:p>
            <a:pPr>
              <a:defRPr sz="800"/>
            </a:pPr>
            <a:endParaRPr lang="en-US"/>
          </a:p>
        </c:txPr>
        <c:crossAx val="2101293816"/>
        <c:crosses val="autoZero"/>
        <c:crossBetween val="between"/>
      </c:valAx>
      <c:spPr>
        <a:ln>
          <a:solidFill>
            <a:schemeClr val="tx1"/>
          </a:solidFill>
        </a:ln>
      </c:spPr>
    </c:plotArea>
    <c:legend>
      <c:legendPos val="t"/>
      <c:layout>
        <c:manualLayout>
          <c:xMode val="edge"/>
          <c:yMode val="edge"/>
          <c:x val="0.222100242277408"/>
          <c:y val="0.0"/>
          <c:w val="0.58616388791482"/>
          <c:h val="0.0531392909947392"/>
        </c:manualLayout>
      </c:layout>
      <c:overlay val="0"/>
    </c:legend>
    <c:plotVisOnly val="1"/>
    <c:dispBlanksAs val="gap"/>
    <c:showDLblsOverMax val="0"/>
  </c:chart>
  <c:spPr>
    <a:ln>
      <a:noFill/>
    </a:ln>
  </c:sp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'db2 pt'!$PK$448</c:f>
              <c:strCache>
                <c:ptCount val="1"/>
                <c:pt idx="0">
                  <c:v>IDP Camp</c:v>
                </c:pt>
              </c:strCache>
            </c:strRef>
          </c:tx>
          <c:spPr>
            <a:solidFill>
              <a:srgbClr val="FFFF00"/>
            </a:solidFill>
            <a:ln>
              <a:solidFill>
                <a:schemeClr val="tx1"/>
              </a:solidFill>
            </a:ln>
          </c:spPr>
          <c:invertIfNegative val="0"/>
          <c:dLbls>
            <c:txPr>
              <a:bodyPr/>
              <a:lstStyle/>
              <a:p>
                <a:pPr>
                  <a:defRPr sz="800" b="1"/>
                </a:pPr>
                <a:endParaRPr lang="en-US"/>
              </a:p>
            </c:txPr>
            <c:showLegendKey val="0"/>
            <c:showVal val="1"/>
            <c:showCatName val="0"/>
            <c:showSerName val="0"/>
            <c:showPercent val="0"/>
            <c:showBubbleSize val="0"/>
            <c:showLeaderLines val="0"/>
          </c:dLbls>
          <c:cat>
            <c:strRef>
              <c:f>'db2 pt'!$PJ$449:$PJ$452</c:f>
              <c:strCache>
                <c:ptCount val="4"/>
                <c:pt idx="0">
                  <c:v>1-3 risks</c:v>
                </c:pt>
                <c:pt idx="1">
                  <c:v>4-6 risks</c:v>
                </c:pt>
                <c:pt idx="2">
                  <c:v>7-9 risks</c:v>
                </c:pt>
                <c:pt idx="3">
                  <c:v> +9 risks</c:v>
                </c:pt>
              </c:strCache>
            </c:strRef>
          </c:cat>
          <c:val>
            <c:numRef>
              <c:f>'db2 pt'!$PK$449:$PK$452</c:f>
              <c:numCache>
                <c:formatCode>0%</c:formatCode>
                <c:ptCount val="4"/>
                <c:pt idx="0">
                  <c:v>0.359090909090909</c:v>
                </c:pt>
                <c:pt idx="1">
                  <c:v>0.35</c:v>
                </c:pt>
                <c:pt idx="2">
                  <c:v>0.140909090909091</c:v>
                </c:pt>
                <c:pt idx="3">
                  <c:v>0.104545454545455</c:v>
                </c:pt>
              </c:numCache>
            </c:numRef>
          </c:val>
        </c:ser>
        <c:ser>
          <c:idx val="1"/>
          <c:order val="1"/>
          <c:tx>
            <c:strRef>
              <c:f>'db2 pt'!$PL$448</c:f>
              <c:strCache>
                <c:ptCount val="1"/>
                <c:pt idx="0">
                  <c:v>Village</c:v>
                </c:pt>
              </c:strCache>
            </c:strRef>
          </c:tx>
          <c:spPr>
            <a:solidFill>
              <a:schemeClr val="tx2"/>
            </a:solidFill>
            <a:ln>
              <a:solidFill>
                <a:schemeClr val="tx1"/>
              </a:solidFill>
            </a:ln>
          </c:spPr>
          <c:invertIfNegative val="0"/>
          <c:dLbls>
            <c:txPr>
              <a:bodyPr/>
              <a:lstStyle/>
              <a:p>
                <a:pPr>
                  <a:defRPr sz="800"/>
                </a:pPr>
                <a:endParaRPr lang="en-US"/>
              </a:p>
            </c:txPr>
            <c:showLegendKey val="0"/>
            <c:showVal val="1"/>
            <c:showCatName val="0"/>
            <c:showSerName val="0"/>
            <c:showPercent val="0"/>
            <c:showBubbleSize val="0"/>
            <c:showLeaderLines val="0"/>
          </c:dLbls>
          <c:cat>
            <c:strRef>
              <c:f>'db2 pt'!$PJ$449:$PJ$452</c:f>
              <c:strCache>
                <c:ptCount val="4"/>
                <c:pt idx="0">
                  <c:v>1-3 risks</c:v>
                </c:pt>
                <c:pt idx="1">
                  <c:v>4-6 risks</c:v>
                </c:pt>
                <c:pt idx="2">
                  <c:v>7-9 risks</c:v>
                </c:pt>
                <c:pt idx="3">
                  <c:v> +9 risks</c:v>
                </c:pt>
              </c:strCache>
            </c:strRef>
          </c:cat>
          <c:val>
            <c:numRef>
              <c:f>'db2 pt'!$PL$449:$PL$452</c:f>
              <c:numCache>
                <c:formatCode>0%</c:formatCode>
                <c:ptCount val="4"/>
                <c:pt idx="0">
                  <c:v>0.245192307692308</c:v>
                </c:pt>
                <c:pt idx="1">
                  <c:v>0.370192307692308</c:v>
                </c:pt>
                <c:pt idx="2">
                  <c:v>0.25</c:v>
                </c:pt>
                <c:pt idx="3">
                  <c:v>0.110576923076923</c:v>
                </c:pt>
              </c:numCache>
            </c:numRef>
          </c:val>
        </c:ser>
        <c:dLbls>
          <c:showLegendKey val="0"/>
          <c:showVal val="0"/>
          <c:showCatName val="0"/>
          <c:showSerName val="0"/>
          <c:showPercent val="0"/>
          <c:showBubbleSize val="0"/>
        </c:dLbls>
        <c:gapWidth val="50"/>
        <c:axId val="2100321096"/>
        <c:axId val="2100318072"/>
      </c:barChart>
      <c:catAx>
        <c:axId val="2100321096"/>
        <c:scaling>
          <c:orientation val="minMax"/>
        </c:scaling>
        <c:delete val="0"/>
        <c:axPos val="b"/>
        <c:majorTickMark val="none"/>
        <c:minorTickMark val="none"/>
        <c:tickLblPos val="nextTo"/>
        <c:txPr>
          <a:bodyPr/>
          <a:lstStyle/>
          <a:p>
            <a:pPr>
              <a:defRPr sz="800"/>
            </a:pPr>
            <a:endParaRPr lang="en-US"/>
          </a:p>
        </c:txPr>
        <c:crossAx val="2100318072"/>
        <c:crosses val="autoZero"/>
        <c:auto val="1"/>
        <c:lblAlgn val="ctr"/>
        <c:lblOffset val="100"/>
        <c:noMultiLvlLbl val="0"/>
      </c:catAx>
      <c:valAx>
        <c:axId val="2100318072"/>
        <c:scaling>
          <c:orientation val="minMax"/>
        </c:scaling>
        <c:delete val="0"/>
        <c:axPos val="l"/>
        <c:majorGridlines/>
        <c:numFmt formatCode="0%" sourceLinked="1"/>
        <c:majorTickMark val="none"/>
        <c:minorTickMark val="none"/>
        <c:tickLblPos val="nextTo"/>
        <c:txPr>
          <a:bodyPr/>
          <a:lstStyle/>
          <a:p>
            <a:pPr>
              <a:defRPr sz="800"/>
            </a:pPr>
            <a:endParaRPr lang="en-US"/>
          </a:p>
        </c:txPr>
        <c:crossAx val="2100321096"/>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sz="1000">
                <a:latin typeface="+mj-lt"/>
              </a:rPr>
              <a:t>Sanitary</a:t>
            </a:r>
            <a:r>
              <a:rPr lang="en-US" sz="1000" baseline="0">
                <a:latin typeface="+mj-lt"/>
              </a:rPr>
              <a:t> Risks per Household</a:t>
            </a:r>
            <a:endParaRPr lang="en-US" sz="1000">
              <a:latin typeface="+mj-lt"/>
            </a:endParaRPr>
          </a:p>
        </c:rich>
      </c:tx>
      <c:layout>
        <c:manualLayout>
          <c:xMode val="edge"/>
          <c:yMode val="edge"/>
          <c:x val="0.044672353455818"/>
          <c:y val="0.037037037037037"/>
        </c:manualLayout>
      </c:layout>
      <c:overlay val="0"/>
    </c:title>
    <c:autoTitleDeleted val="0"/>
    <c:plotArea>
      <c:layout>
        <c:manualLayout>
          <c:layoutTarget val="inner"/>
          <c:xMode val="edge"/>
          <c:yMode val="edge"/>
          <c:x val="0.0932248468941382"/>
          <c:y val="0.176309784193642"/>
          <c:w val="0.870664041994751"/>
          <c:h val="0.650789224263634"/>
        </c:manualLayout>
      </c:layout>
      <c:barChart>
        <c:barDir val="col"/>
        <c:grouping val="clustered"/>
        <c:varyColors val="0"/>
        <c:ser>
          <c:idx val="4"/>
          <c:order val="0"/>
          <c:tx>
            <c:strRef>
              <c:f>'[For PT - KAP Survey (Tue).xlsx]db2 pt'!$PH$448</c:f>
              <c:strCache>
                <c:ptCount val="1"/>
                <c:pt idx="0">
                  <c:v>IDP Camp</c:v>
                </c:pt>
              </c:strCache>
            </c:strRef>
          </c:tx>
          <c:spPr>
            <a:solidFill>
              <a:srgbClr val="FFFF00"/>
            </a:solidFill>
            <a:ln>
              <a:solidFill>
                <a:schemeClr val="tx1"/>
              </a:solidFill>
            </a:ln>
          </c:spPr>
          <c:invertIfNegative val="0"/>
          <c:cat>
            <c:strRef>
              <c:f>'[For PT - KAP Survey (Tue).xlsx]db2 pt'!$PC$449:$PC$462</c:f>
              <c:strCache>
                <c:ptCount val="14"/>
                <c:pt idx="0">
                  <c:v>1 risk</c:v>
                </c:pt>
                <c:pt idx="1">
                  <c:v>2 risks</c:v>
                </c:pt>
                <c:pt idx="2">
                  <c:v>3 risks</c:v>
                </c:pt>
                <c:pt idx="3">
                  <c:v>4 risks</c:v>
                </c:pt>
                <c:pt idx="4">
                  <c:v>5 risks</c:v>
                </c:pt>
                <c:pt idx="5">
                  <c:v>6 risks</c:v>
                </c:pt>
                <c:pt idx="6">
                  <c:v>7 risks</c:v>
                </c:pt>
                <c:pt idx="7">
                  <c:v>8 risks</c:v>
                </c:pt>
                <c:pt idx="8">
                  <c:v>9 risks</c:v>
                </c:pt>
                <c:pt idx="9">
                  <c:v>10 risks</c:v>
                </c:pt>
                <c:pt idx="10">
                  <c:v>11 risks</c:v>
                </c:pt>
                <c:pt idx="11">
                  <c:v>12 risks</c:v>
                </c:pt>
                <c:pt idx="12">
                  <c:v>13 risks</c:v>
                </c:pt>
                <c:pt idx="13">
                  <c:v>14 risks</c:v>
                </c:pt>
              </c:strCache>
            </c:strRef>
          </c:cat>
          <c:val>
            <c:numRef>
              <c:f>'[For PT - KAP Survey (Tue).xlsx]db2 pt'!$PH$449:$PH$462</c:f>
              <c:numCache>
                <c:formatCode>0%</c:formatCode>
                <c:ptCount val="14"/>
                <c:pt idx="0">
                  <c:v>0.0636363636363636</c:v>
                </c:pt>
                <c:pt idx="1">
                  <c:v>0.122727272727273</c:v>
                </c:pt>
                <c:pt idx="2">
                  <c:v>0.172727272727273</c:v>
                </c:pt>
                <c:pt idx="3">
                  <c:v>0.131818181818182</c:v>
                </c:pt>
                <c:pt idx="4">
                  <c:v>0.122727272727273</c:v>
                </c:pt>
                <c:pt idx="5">
                  <c:v>0.0954545454545454</c:v>
                </c:pt>
                <c:pt idx="6">
                  <c:v>0.0590909090909091</c:v>
                </c:pt>
                <c:pt idx="7">
                  <c:v>0.0454545454545454</c:v>
                </c:pt>
                <c:pt idx="8">
                  <c:v>0.0363636363636364</c:v>
                </c:pt>
                <c:pt idx="9">
                  <c:v>0.0545454545454545</c:v>
                </c:pt>
                <c:pt idx="10">
                  <c:v>0.0272727272727273</c:v>
                </c:pt>
                <c:pt idx="11">
                  <c:v>0.0136363636363636</c:v>
                </c:pt>
                <c:pt idx="12">
                  <c:v>0.00454545454545454</c:v>
                </c:pt>
                <c:pt idx="13">
                  <c:v>0.00454545454545454</c:v>
                </c:pt>
              </c:numCache>
            </c:numRef>
          </c:val>
        </c:ser>
        <c:ser>
          <c:idx val="5"/>
          <c:order val="1"/>
          <c:tx>
            <c:strRef>
              <c:f>'[For PT - KAP Survey (Tue).xlsx]db2 pt'!$PI$448</c:f>
              <c:strCache>
                <c:ptCount val="1"/>
                <c:pt idx="0">
                  <c:v>Village</c:v>
                </c:pt>
              </c:strCache>
            </c:strRef>
          </c:tx>
          <c:spPr>
            <a:solidFill>
              <a:schemeClr val="tx2"/>
            </a:solidFill>
            <a:ln>
              <a:solidFill>
                <a:schemeClr val="tx1"/>
              </a:solidFill>
            </a:ln>
          </c:spPr>
          <c:invertIfNegative val="0"/>
          <c:cat>
            <c:strRef>
              <c:f>'[For PT - KAP Survey (Tue).xlsx]db2 pt'!$PC$449:$PC$462</c:f>
              <c:strCache>
                <c:ptCount val="14"/>
                <c:pt idx="0">
                  <c:v>1 risk</c:v>
                </c:pt>
                <c:pt idx="1">
                  <c:v>2 risks</c:v>
                </c:pt>
                <c:pt idx="2">
                  <c:v>3 risks</c:v>
                </c:pt>
                <c:pt idx="3">
                  <c:v>4 risks</c:v>
                </c:pt>
                <c:pt idx="4">
                  <c:v>5 risks</c:v>
                </c:pt>
                <c:pt idx="5">
                  <c:v>6 risks</c:v>
                </c:pt>
                <c:pt idx="6">
                  <c:v>7 risks</c:v>
                </c:pt>
                <c:pt idx="7">
                  <c:v>8 risks</c:v>
                </c:pt>
                <c:pt idx="8">
                  <c:v>9 risks</c:v>
                </c:pt>
                <c:pt idx="9">
                  <c:v>10 risks</c:v>
                </c:pt>
                <c:pt idx="10">
                  <c:v>11 risks</c:v>
                </c:pt>
                <c:pt idx="11">
                  <c:v>12 risks</c:v>
                </c:pt>
                <c:pt idx="12">
                  <c:v>13 risks</c:v>
                </c:pt>
                <c:pt idx="13">
                  <c:v>14 risks</c:v>
                </c:pt>
              </c:strCache>
            </c:strRef>
          </c:cat>
          <c:val>
            <c:numRef>
              <c:f>'[For PT - KAP Survey (Tue).xlsx]db2 pt'!$PI$449:$PI$462</c:f>
              <c:numCache>
                <c:formatCode>0%</c:formatCode>
                <c:ptCount val="14"/>
                <c:pt idx="0">
                  <c:v>0.0528846153846154</c:v>
                </c:pt>
                <c:pt idx="1">
                  <c:v>0.0961538461538461</c:v>
                </c:pt>
                <c:pt idx="2">
                  <c:v>0.0961538461538461</c:v>
                </c:pt>
                <c:pt idx="3">
                  <c:v>0.173076923076923</c:v>
                </c:pt>
                <c:pt idx="4">
                  <c:v>0.134615384615385</c:v>
                </c:pt>
                <c:pt idx="5">
                  <c:v>0.0625</c:v>
                </c:pt>
                <c:pt idx="6">
                  <c:v>0.0865384615384615</c:v>
                </c:pt>
                <c:pt idx="7">
                  <c:v>0.0769230769230769</c:v>
                </c:pt>
                <c:pt idx="8">
                  <c:v>0.0865384615384615</c:v>
                </c:pt>
                <c:pt idx="9">
                  <c:v>0.0576923076923077</c:v>
                </c:pt>
                <c:pt idx="10">
                  <c:v>0.0288461538461538</c:v>
                </c:pt>
                <c:pt idx="11">
                  <c:v>0.0192307692307692</c:v>
                </c:pt>
                <c:pt idx="12">
                  <c:v>0.00480769230769231</c:v>
                </c:pt>
                <c:pt idx="13">
                  <c:v>0.0</c:v>
                </c:pt>
              </c:numCache>
            </c:numRef>
          </c:val>
        </c:ser>
        <c:dLbls>
          <c:showLegendKey val="0"/>
          <c:showVal val="0"/>
          <c:showCatName val="0"/>
          <c:showSerName val="0"/>
          <c:showPercent val="0"/>
          <c:showBubbleSize val="0"/>
        </c:dLbls>
        <c:gapWidth val="50"/>
        <c:axId val="2092941064"/>
        <c:axId val="2092930680"/>
      </c:barChart>
      <c:catAx>
        <c:axId val="2092941064"/>
        <c:scaling>
          <c:orientation val="minMax"/>
        </c:scaling>
        <c:delete val="0"/>
        <c:axPos val="b"/>
        <c:majorTickMark val="none"/>
        <c:minorTickMark val="none"/>
        <c:tickLblPos val="nextTo"/>
        <c:txPr>
          <a:bodyPr/>
          <a:lstStyle/>
          <a:p>
            <a:pPr>
              <a:defRPr sz="700"/>
            </a:pPr>
            <a:endParaRPr lang="en-US"/>
          </a:p>
        </c:txPr>
        <c:crossAx val="2092930680"/>
        <c:crosses val="autoZero"/>
        <c:auto val="1"/>
        <c:lblAlgn val="ctr"/>
        <c:lblOffset val="100"/>
        <c:noMultiLvlLbl val="0"/>
      </c:catAx>
      <c:valAx>
        <c:axId val="2092930680"/>
        <c:scaling>
          <c:orientation val="minMax"/>
        </c:scaling>
        <c:delete val="0"/>
        <c:axPos val="l"/>
        <c:majorGridlines/>
        <c:numFmt formatCode="0%" sourceLinked="1"/>
        <c:majorTickMark val="none"/>
        <c:minorTickMark val="none"/>
        <c:tickLblPos val="nextTo"/>
        <c:txPr>
          <a:bodyPr/>
          <a:lstStyle/>
          <a:p>
            <a:pPr>
              <a:defRPr sz="800"/>
            </a:pPr>
            <a:endParaRPr lang="en-US"/>
          </a:p>
        </c:txPr>
        <c:crossAx val="2092941064"/>
        <c:crosses val="autoZero"/>
        <c:crossBetween val="between"/>
      </c:valAx>
      <c:spPr>
        <a:ln>
          <a:solidFill>
            <a:schemeClr val="tx1"/>
          </a:solidFill>
        </a:ln>
      </c:spPr>
    </c:plotArea>
    <c:legend>
      <c:legendPos val="t"/>
      <c:layout>
        <c:manualLayout>
          <c:xMode val="edge"/>
          <c:yMode val="edge"/>
          <c:x val="0.495617344706912"/>
          <c:y val="0.0398148148148148"/>
          <c:w val="0.454598917322835"/>
          <c:h val="0.0929764508603091"/>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mj-lt"/>
              </a:defRPr>
            </a:pPr>
            <a:r>
              <a:rPr lang="en-US" sz="1000">
                <a:latin typeface="+mj-lt"/>
              </a:rPr>
              <a:t>Drinking Water Source</a:t>
            </a:r>
          </a:p>
        </c:rich>
      </c:tx>
      <c:layout>
        <c:manualLayout>
          <c:xMode val="edge"/>
          <c:yMode val="edge"/>
          <c:x val="0.320699648235544"/>
          <c:y val="0.0515858771775739"/>
        </c:manualLayout>
      </c:layout>
      <c:overlay val="0"/>
    </c:title>
    <c:autoTitleDeleted val="0"/>
    <c:plotArea>
      <c:layout>
        <c:manualLayout>
          <c:layoutTarget val="inner"/>
          <c:xMode val="edge"/>
          <c:yMode val="edge"/>
          <c:x val="0.0744192776873764"/>
          <c:y val="0.315298196842756"/>
          <c:w val="0.674232802210403"/>
          <c:h val="0.62451637046824"/>
        </c:manualLayout>
      </c:layout>
      <c:barChart>
        <c:barDir val="bar"/>
        <c:grouping val="clustered"/>
        <c:varyColors val="0"/>
        <c:ser>
          <c:idx val="1"/>
          <c:order val="0"/>
          <c:tx>
            <c:strRef>
              <c:f>Location!$CG$459</c:f>
              <c:strCache>
                <c:ptCount val="1"/>
                <c:pt idx="0">
                  <c:v>IDP Camp</c:v>
                </c:pt>
              </c:strCache>
            </c:strRef>
          </c:tx>
          <c:spPr>
            <a:solidFill>
              <a:srgbClr val="FFFF00"/>
            </a:solidFill>
            <a:ln>
              <a:solidFill>
                <a:schemeClr val="tx1"/>
              </a:solidFill>
            </a:ln>
          </c:spPr>
          <c:invertIfNegative val="0"/>
          <c:dLbls>
            <c:dLbl>
              <c:idx val="2"/>
              <c:delete val="1"/>
            </c:dLbl>
            <c:dLbl>
              <c:idx val="4"/>
              <c:delete val="1"/>
            </c:dLbl>
            <c:txPr>
              <a:bodyPr/>
              <a:lstStyle/>
              <a:p>
                <a:pPr>
                  <a:defRPr sz="800" b="1"/>
                </a:pPr>
                <a:endParaRPr lang="en-US"/>
              </a:p>
            </c:txPr>
            <c:showLegendKey val="0"/>
            <c:showVal val="1"/>
            <c:showCatName val="0"/>
            <c:showSerName val="0"/>
            <c:showPercent val="0"/>
            <c:showBubbleSize val="0"/>
            <c:showLeaderLines val="0"/>
          </c:dLbls>
          <c:cat>
            <c:strRef>
              <c:f>Location!$CE$460:$CE$464</c:f>
              <c:strCache>
                <c:ptCount val="5"/>
                <c:pt idx="0">
                  <c:v>Tapstand</c:v>
                </c:pt>
                <c:pt idx="1">
                  <c:v>Handpump</c:v>
                </c:pt>
                <c:pt idx="2">
                  <c:v>Open Well</c:v>
                </c:pt>
                <c:pt idx="3">
                  <c:v>Pond</c:v>
                </c:pt>
                <c:pt idx="4">
                  <c:v>Bottled water</c:v>
                </c:pt>
              </c:strCache>
            </c:strRef>
          </c:cat>
          <c:val>
            <c:numRef>
              <c:f>Location!$CG$460:$CG$464</c:f>
              <c:numCache>
                <c:formatCode>0%</c:formatCode>
                <c:ptCount val="5"/>
                <c:pt idx="0">
                  <c:v>0.0227272727272727</c:v>
                </c:pt>
                <c:pt idx="1">
                  <c:v>0.954545454545454</c:v>
                </c:pt>
                <c:pt idx="2">
                  <c:v>0.00454545454545454</c:v>
                </c:pt>
                <c:pt idx="3">
                  <c:v>0.0136363636363636</c:v>
                </c:pt>
                <c:pt idx="4">
                  <c:v>0.00454545454545454</c:v>
                </c:pt>
              </c:numCache>
            </c:numRef>
          </c:val>
        </c:ser>
        <c:ser>
          <c:idx val="2"/>
          <c:order val="1"/>
          <c:tx>
            <c:strRef>
              <c:f>Location!$CH$459</c:f>
              <c:strCache>
                <c:ptCount val="1"/>
                <c:pt idx="0">
                  <c:v>Village</c:v>
                </c:pt>
              </c:strCache>
            </c:strRef>
          </c:tx>
          <c:spPr>
            <a:solidFill>
              <a:schemeClr val="tx2"/>
            </a:solidFill>
            <a:ln>
              <a:solidFill>
                <a:schemeClr val="tx1"/>
              </a:solidFill>
            </a:ln>
          </c:spPr>
          <c:invertIfNegative val="0"/>
          <c:dLbls>
            <c:dLbl>
              <c:idx val="3"/>
              <c:delete val="1"/>
            </c:dLbl>
            <c:dLbl>
              <c:idx val="4"/>
              <c:delete val="1"/>
            </c:dLbl>
            <c:txPr>
              <a:bodyPr/>
              <a:lstStyle/>
              <a:p>
                <a:pPr>
                  <a:defRPr sz="800"/>
                </a:pPr>
                <a:endParaRPr lang="en-US"/>
              </a:p>
            </c:txPr>
            <c:showLegendKey val="0"/>
            <c:showVal val="1"/>
            <c:showCatName val="0"/>
            <c:showSerName val="0"/>
            <c:showPercent val="0"/>
            <c:showBubbleSize val="0"/>
            <c:showLeaderLines val="0"/>
          </c:dLbls>
          <c:cat>
            <c:strRef>
              <c:f>Location!$CE$460:$CE$464</c:f>
              <c:strCache>
                <c:ptCount val="5"/>
                <c:pt idx="0">
                  <c:v>Tapstand</c:v>
                </c:pt>
                <c:pt idx="1">
                  <c:v>Handpump</c:v>
                </c:pt>
                <c:pt idx="2">
                  <c:v>Open Well</c:v>
                </c:pt>
                <c:pt idx="3">
                  <c:v>Pond</c:v>
                </c:pt>
                <c:pt idx="4">
                  <c:v>Bottled water</c:v>
                </c:pt>
              </c:strCache>
            </c:strRef>
          </c:cat>
          <c:val>
            <c:numRef>
              <c:f>Location!$CH$460:$CH$464</c:f>
              <c:numCache>
                <c:formatCode>0%</c:formatCode>
                <c:ptCount val="5"/>
                <c:pt idx="0">
                  <c:v>0.00961538461538461</c:v>
                </c:pt>
                <c:pt idx="1">
                  <c:v>0.677884615384615</c:v>
                </c:pt>
                <c:pt idx="2">
                  <c:v>0.298076923076923</c:v>
                </c:pt>
                <c:pt idx="3">
                  <c:v>0.0</c:v>
                </c:pt>
                <c:pt idx="4">
                  <c:v>0.0</c:v>
                </c:pt>
              </c:numCache>
            </c:numRef>
          </c:val>
        </c:ser>
        <c:dLbls>
          <c:showLegendKey val="0"/>
          <c:showVal val="0"/>
          <c:showCatName val="0"/>
          <c:showSerName val="0"/>
          <c:showPercent val="0"/>
          <c:showBubbleSize val="0"/>
        </c:dLbls>
        <c:gapWidth val="50"/>
        <c:axId val="2044897576"/>
        <c:axId val="2044900616"/>
      </c:barChart>
      <c:catAx>
        <c:axId val="2044897576"/>
        <c:scaling>
          <c:orientation val="maxMin"/>
        </c:scaling>
        <c:delete val="0"/>
        <c:axPos val="r"/>
        <c:majorTickMark val="none"/>
        <c:minorTickMark val="none"/>
        <c:tickLblPos val="nextTo"/>
        <c:txPr>
          <a:bodyPr/>
          <a:lstStyle/>
          <a:p>
            <a:pPr>
              <a:defRPr>
                <a:latin typeface="+mj-lt"/>
              </a:defRPr>
            </a:pPr>
            <a:endParaRPr lang="en-US"/>
          </a:p>
        </c:txPr>
        <c:crossAx val="2044900616"/>
        <c:crosses val="autoZero"/>
        <c:auto val="1"/>
        <c:lblAlgn val="ctr"/>
        <c:lblOffset val="100"/>
        <c:noMultiLvlLbl val="0"/>
      </c:catAx>
      <c:valAx>
        <c:axId val="2044900616"/>
        <c:scaling>
          <c:orientation val="maxMin"/>
          <c:max val="1.0"/>
        </c:scaling>
        <c:delete val="0"/>
        <c:axPos val="t"/>
        <c:majorGridlines/>
        <c:numFmt formatCode="0%" sourceLinked="1"/>
        <c:majorTickMark val="none"/>
        <c:minorTickMark val="none"/>
        <c:tickLblPos val="nextTo"/>
        <c:txPr>
          <a:bodyPr/>
          <a:lstStyle/>
          <a:p>
            <a:pPr>
              <a:defRPr sz="800"/>
            </a:pPr>
            <a:endParaRPr lang="en-US"/>
          </a:p>
        </c:txPr>
        <c:crossAx val="2044897576"/>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mj-lt"/>
              </a:defRPr>
            </a:pPr>
            <a:r>
              <a:rPr lang="en-US" sz="1000">
                <a:latin typeface="+mj-lt"/>
              </a:rPr>
              <a:t>Domestic Water Source</a:t>
            </a:r>
          </a:p>
        </c:rich>
      </c:tx>
      <c:layout>
        <c:manualLayout>
          <c:xMode val="edge"/>
          <c:yMode val="edge"/>
          <c:x val="0.0390951443569554"/>
          <c:y val="0.0324074074074074"/>
        </c:manualLayout>
      </c:layout>
      <c:overlay val="0"/>
    </c:title>
    <c:autoTitleDeleted val="0"/>
    <c:plotArea>
      <c:layout>
        <c:manualLayout>
          <c:layoutTarget val="inner"/>
          <c:xMode val="edge"/>
          <c:yMode val="edge"/>
          <c:x val="0.0744817272206456"/>
          <c:y val="0.302429913652098"/>
          <c:w val="0.834729272419628"/>
          <c:h val="0.608399710905702"/>
        </c:manualLayout>
      </c:layout>
      <c:barChart>
        <c:barDir val="bar"/>
        <c:grouping val="clustered"/>
        <c:varyColors val="0"/>
        <c:ser>
          <c:idx val="1"/>
          <c:order val="0"/>
          <c:tx>
            <c:strRef>
              <c:f>Location!$CN$459</c:f>
              <c:strCache>
                <c:ptCount val="1"/>
                <c:pt idx="0">
                  <c:v>IDP Camp</c:v>
                </c:pt>
              </c:strCache>
            </c:strRef>
          </c:tx>
          <c:spPr>
            <a:solidFill>
              <a:srgbClr val="FFFF00"/>
            </a:solidFill>
            <a:ln>
              <a:solidFill>
                <a:schemeClr val="tx1"/>
              </a:solidFill>
            </a:ln>
          </c:spPr>
          <c:invertIfNegative val="0"/>
          <c:dLbls>
            <c:dLbl>
              <c:idx val="2"/>
              <c:delete val="1"/>
            </c:dLbl>
            <c:dLbl>
              <c:idx val="3"/>
              <c:delete val="1"/>
            </c:dLbl>
            <c:dLbl>
              <c:idx val="4"/>
              <c:delete val="1"/>
            </c:dLbl>
            <c:txPr>
              <a:bodyPr/>
              <a:lstStyle/>
              <a:p>
                <a:pPr>
                  <a:defRPr sz="800" b="1"/>
                </a:pPr>
                <a:endParaRPr lang="en-US"/>
              </a:p>
            </c:txPr>
            <c:showLegendKey val="0"/>
            <c:showVal val="1"/>
            <c:showCatName val="0"/>
            <c:showSerName val="0"/>
            <c:showPercent val="0"/>
            <c:showBubbleSize val="0"/>
            <c:showLeaderLines val="0"/>
          </c:dLbls>
          <c:cat>
            <c:strRef>
              <c:f>Location!$CL$460:$CL$464</c:f>
              <c:strCache>
                <c:ptCount val="5"/>
                <c:pt idx="0">
                  <c:v>Tapstand</c:v>
                </c:pt>
                <c:pt idx="1">
                  <c:v>Handpump</c:v>
                </c:pt>
                <c:pt idx="2">
                  <c:v>Open Well</c:v>
                </c:pt>
                <c:pt idx="3">
                  <c:v>Pond</c:v>
                </c:pt>
                <c:pt idx="4">
                  <c:v>Bottled water</c:v>
                </c:pt>
              </c:strCache>
            </c:strRef>
          </c:cat>
          <c:val>
            <c:numRef>
              <c:f>Location!$CN$460:$CN$464</c:f>
              <c:numCache>
                <c:formatCode>0%</c:formatCode>
                <c:ptCount val="5"/>
                <c:pt idx="0">
                  <c:v>0.0363636363636364</c:v>
                </c:pt>
                <c:pt idx="1">
                  <c:v>0.954545454545454</c:v>
                </c:pt>
                <c:pt idx="2">
                  <c:v>0.00454545454545454</c:v>
                </c:pt>
                <c:pt idx="3">
                  <c:v>0.0</c:v>
                </c:pt>
                <c:pt idx="4">
                  <c:v>0.0</c:v>
                </c:pt>
              </c:numCache>
            </c:numRef>
          </c:val>
        </c:ser>
        <c:ser>
          <c:idx val="2"/>
          <c:order val="1"/>
          <c:tx>
            <c:strRef>
              <c:f>Location!$CO$459</c:f>
              <c:strCache>
                <c:ptCount val="1"/>
                <c:pt idx="0">
                  <c:v>Village</c:v>
                </c:pt>
              </c:strCache>
            </c:strRef>
          </c:tx>
          <c:spPr>
            <a:solidFill>
              <a:schemeClr val="tx2"/>
            </a:solidFill>
            <a:ln>
              <a:solidFill>
                <a:schemeClr val="tx1"/>
              </a:solidFill>
            </a:ln>
          </c:spPr>
          <c:invertIfNegative val="0"/>
          <c:dLbls>
            <c:dLbl>
              <c:idx val="3"/>
              <c:delete val="1"/>
            </c:dLbl>
            <c:dLbl>
              <c:idx val="4"/>
              <c:delete val="1"/>
            </c:dLbl>
            <c:txPr>
              <a:bodyPr/>
              <a:lstStyle/>
              <a:p>
                <a:pPr>
                  <a:defRPr sz="800"/>
                </a:pPr>
                <a:endParaRPr lang="en-US"/>
              </a:p>
            </c:txPr>
            <c:showLegendKey val="0"/>
            <c:showVal val="1"/>
            <c:showCatName val="0"/>
            <c:showSerName val="0"/>
            <c:showPercent val="0"/>
            <c:showBubbleSize val="0"/>
            <c:showLeaderLines val="0"/>
          </c:dLbls>
          <c:cat>
            <c:strRef>
              <c:f>Location!$CL$460:$CL$464</c:f>
              <c:strCache>
                <c:ptCount val="5"/>
                <c:pt idx="0">
                  <c:v>Tapstand</c:v>
                </c:pt>
                <c:pt idx="1">
                  <c:v>Handpump</c:v>
                </c:pt>
                <c:pt idx="2">
                  <c:v>Open Well</c:v>
                </c:pt>
                <c:pt idx="3">
                  <c:v>Pond</c:v>
                </c:pt>
                <c:pt idx="4">
                  <c:v>Bottled water</c:v>
                </c:pt>
              </c:strCache>
            </c:strRef>
          </c:cat>
          <c:val>
            <c:numRef>
              <c:f>Location!$CO$460:$CO$464</c:f>
              <c:numCache>
                <c:formatCode>0%</c:formatCode>
                <c:ptCount val="5"/>
                <c:pt idx="0">
                  <c:v>0.00961538461538461</c:v>
                </c:pt>
                <c:pt idx="1">
                  <c:v>0.673076923076923</c:v>
                </c:pt>
                <c:pt idx="2">
                  <c:v>0.307692307692308</c:v>
                </c:pt>
                <c:pt idx="3">
                  <c:v>0.0</c:v>
                </c:pt>
                <c:pt idx="4">
                  <c:v>0.0</c:v>
                </c:pt>
              </c:numCache>
            </c:numRef>
          </c:val>
        </c:ser>
        <c:dLbls>
          <c:showLegendKey val="0"/>
          <c:showVal val="0"/>
          <c:showCatName val="0"/>
          <c:showSerName val="0"/>
          <c:showPercent val="0"/>
          <c:showBubbleSize val="0"/>
        </c:dLbls>
        <c:gapWidth val="50"/>
        <c:axId val="2090125672"/>
        <c:axId val="2090173800"/>
      </c:barChart>
      <c:catAx>
        <c:axId val="2090125672"/>
        <c:scaling>
          <c:orientation val="maxMin"/>
        </c:scaling>
        <c:delete val="1"/>
        <c:axPos val="l"/>
        <c:majorTickMark val="none"/>
        <c:minorTickMark val="none"/>
        <c:tickLblPos val="nextTo"/>
        <c:crossAx val="2090173800"/>
        <c:crosses val="autoZero"/>
        <c:auto val="1"/>
        <c:lblAlgn val="ctr"/>
        <c:lblOffset val="100"/>
        <c:noMultiLvlLbl val="0"/>
      </c:catAx>
      <c:valAx>
        <c:axId val="2090173800"/>
        <c:scaling>
          <c:orientation val="minMax"/>
          <c:max val="1.0"/>
        </c:scaling>
        <c:delete val="0"/>
        <c:axPos val="t"/>
        <c:majorGridlines/>
        <c:numFmt formatCode="0%" sourceLinked="1"/>
        <c:majorTickMark val="none"/>
        <c:minorTickMark val="none"/>
        <c:tickLblPos val="nextTo"/>
        <c:txPr>
          <a:bodyPr/>
          <a:lstStyle/>
          <a:p>
            <a:pPr>
              <a:defRPr sz="800"/>
            </a:pPr>
            <a:endParaRPr lang="en-US"/>
          </a:p>
        </c:txPr>
        <c:crossAx val="2090125672"/>
        <c:crosses val="autoZero"/>
        <c:crossBetween val="between"/>
      </c:valAx>
      <c:spPr>
        <a:ln>
          <a:solidFill>
            <a:schemeClr val="tx1"/>
          </a:solidFill>
        </a:ln>
      </c:spPr>
    </c:plotArea>
    <c:legend>
      <c:legendPos val="t"/>
      <c:layout>
        <c:manualLayout>
          <c:xMode val="edge"/>
          <c:yMode val="edge"/>
          <c:x val="0.604609532504089"/>
          <c:y val="0.0277777777777778"/>
          <c:w val="0.360144547148998"/>
          <c:h val="0.134643117526976"/>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230E0-EE16-E748-ADA9-4DFCFED14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2300</TotalTime>
  <Pages>33</Pages>
  <Words>7669</Words>
  <Characters>43716</Characters>
  <Application>Microsoft Macintosh Word</Application>
  <DocSecurity>0</DocSecurity>
  <Lines>364</Lines>
  <Paragraphs>102</Paragraphs>
  <ScaleCrop>false</ScaleCrop>
  <Company/>
  <LinksUpToDate>false</LinksUpToDate>
  <CharactersWithSpaces>51283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owledge Attitudes and Practices Survey of Hygiene Behaviour </dc:title>
  <dc:subject/>
  <dc:creator>May 2015</dc:creator>
  <cp:keywords/>
  <dc:description/>
  <cp:lastModifiedBy>user</cp:lastModifiedBy>
  <cp:revision>74</cp:revision>
  <dcterms:created xsi:type="dcterms:W3CDTF">2015-05-07T02:42:00Z</dcterms:created>
  <dcterms:modified xsi:type="dcterms:W3CDTF">2015-05-26T11:26:00Z</dcterms:modified>
</cp:coreProperties>
</file>