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3FB0" w14:textId="77777777" w:rsidR="00CC16EE" w:rsidRDefault="00CC16EE">
      <w:pPr>
        <w:rPr>
          <w:b/>
          <w:u w:val="single"/>
        </w:rPr>
      </w:pPr>
    </w:p>
    <w:p w14:paraId="7269422A" w14:textId="6B1F9E13" w:rsidR="00CC16EE" w:rsidRDefault="00A80A1B" w:rsidP="45D77314">
      <w:pPr>
        <w:rPr>
          <w:b/>
          <w:bCs/>
          <w:u w:val="single"/>
        </w:rPr>
      </w:pPr>
      <w:r w:rsidRPr="45D77314">
        <w:rPr>
          <w:b/>
          <w:bCs/>
          <w:u w:val="single"/>
        </w:rPr>
        <w:t xml:space="preserve">Expected Outcomes of the Survival Minimum </w:t>
      </w:r>
      <w:r w:rsidR="000E510A" w:rsidRPr="45D77314">
        <w:rPr>
          <w:b/>
          <w:bCs/>
          <w:u w:val="single"/>
        </w:rPr>
        <w:t>Expenditure</w:t>
      </w:r>
      <w:r w:rsidRPr="45D77314">
        <w:rPr>
          <w:b/>
          <w:bCs/>
          <w:u w:val="single"/>
        </w:rPr>
        <w:t xml:space="preserve"> Basket (SMEB) Exercise</w:t>
      </w:r>
    </w:p>
    <w:p w14:paraId="4B1C2F6E" w14:textId="77777777" w:rsidR="00CC16EE" w:rsidRDefault="00CC16EE"/>
    <w:p w14:paraId="135477A4" w14:textId="77777777" w:rsidR="00CC16EE" w:rsidRDefault="00A80A1B">
      <w:pPr>
        <w:numPr>
          <w:ilvl w:val="0"/>
          <w:numId w:val="4"/>
        </w:numPr>
      </w:pPr>
      <w:r>
        <w:t xml:space="preserve">Establish a Myanmar </w:t>
      </w:r>
      <w:r>
        <w:rPr>
          <w:rFonts w:ascii="Roboto" w:eastAsia="Roboto" w:hAnsi="Roboto" w:cs="Roboto"/>
        </w:rPr>
        <w:t>SMEB, which is the absolute minimum amount required to maintain existence and cover lifesaving needs, which could involve the deprivation of certain human rights.</w:t>
      </w:r>
    </w:p>
    <w:p w14:paraId="2A7E788A" w14:textId="171EE40C" w:rsidR="00CC16EE" w:rsidRDefault="00A80A1B">
      <w:pPr>
        <w:numPr>
          <w:ilvl w:val="0"/>
          <w:numId w:val="4"/>
        </w:numPr>
      </w:pPr>
      <w:r>
        <w:t>Establish a SMEB that can inform a CWG endorsed Multi-Purpose Cash Assistance (MPCA) transfer value (refer to annex 2).</w:t>
      </w:r>
    </w:p>
    <w:p w14:paraId="50E3152E" w14:textId="77777777" w:rsidR="00CC16EE" w:rsidRDefault="00CC16EE">
      <w:pPr>
        <w:ind w:left="720"/>
      </w:pPr>
    </w:p>
    <w:p w14:paraId="32B077C1" w14:textId="362878ED" w:rsidR="00CC16EE" w:rsidRDefault="00A80A1B" w:rsidP="45D77314">
      <w:pPr>
        <w:rPr>
          <w:b/>
          <w:bCs/>
          <w:u w:val="single"/>
        </w:rPr>
      </w:pPr>
      <w:r w:rsidRPr="45D77314">
        <w:rPr>
          <w:b/>
          <w:bCs/>
          <w:u w:val="single"/>
        </w:rPr>
        <w:t>Myanmar Cash Working Group - SMEB Methodology:</w:t>
      </w:r>
    </w:p>
    <w:p w14:paraId="36EEEC20" w14:textId="77777777" w:rsidR="00CC16EE" w:rsidRDefault="00CC16EE"/>
    <w:p w14:paraId="381E5EE8" w14:textId="2189C7BE" w:rsidR="00CC16EE" w:rsidRDefault="00A80A1B" w:rsidP="45D77314">
      <w:r>
        <w:t>WFP’s standard full ration in-kind food basket of rice (13.5 kg), chickpeas (1.8 kg), cooking oil (1 L), and salt (0.15 kg) per person</w:t>
      </w:r>
      <w:r w:rsidR="00E838B7">
        <w:t xml:space="preserve"> is the basis</w:t>
      </w:r>
      <w:r w:rsidR="009507E6">
        <w:t xml:space="preserve"> for the SMEB calculation. Th</w:t>
      </w:r>
      <w:r w:rsidR="00F13AFD">
        <w:t xml:space="preserve">e </w:t>
      </w:r>
      <w:r w:rsidR="00897AB5">
        <w:t>standard ration cost is calculated based on the</w:t>
      </w:r>
      <w:r>
        <w:t xml:space="preserve"> </w:t>
      </w:r>
      <w:r w:rsidR="00897AB5">
        <w:t xml:space="preserve">average </w:t>
      </w:r>
      <w:r>
        <w:t>current market prices of those items</w:t>
      </w:r>
      <w:r w:rsidR="00897AB5">
        <w:t xml:space="preserve"> and quantities</w:t>
      </w:r>
      <w:r>
        <w:t xml:space="preserve">. </w:t>
      </w:r>
      <w:r w:rsidR="00023F67">
        <w:t xml:space="preserve">For this update, </w:t>
      </w:r>
      <w:r w:rsidR="00832E68">
        <w:t>May 2023</w:t>
      </w:r>
      <w:r w:rsidR="00023F67">
        <w:t xml:space="preserve"> prices were used. </w:t>
      </w:r>
      <w:r>
        <w:t xml:space="preserve">Finally, the cost of the individual food basket </w:t>
      </w:r>
      <w:r w:rsidR="00462D73">
        <w:t xml:space="preserve">is multiplied </w:t>
      </w:r>
      <w:r>
        <w:t>by 5 (the average Myanmar household size).</w:t>
      </w:r>
      <w:r w:rsidR="002D2DF5">
        <w:rPr>
          <w:rStyle w:val="FootnoteReference"/>
        </w:rPr>
        <w:footnoteReference w:id="2"/>
      </w:r>
      <w:r>
        <w:t xml:space="preserve"> </w:t>
      </w:r>
    </w:p>
    <w:p w14:paraId="002BB524" w14:textId="77777777" w:rsidR="00CC16EE" w:rsidRDefault="00CC16EE"/>
    <w:p w14:paraId="0F1AB216" w14:textId="2DDFFC00" w:rsidR="00CC16EE" w:rsidRDefault="00A80A1B" w:rsidP="00271D2D">
      <w:r>
        <w:t>Using the SMEB food calculation</w:t>
      </w:r>
      <w:r w:rsidR="00A44BE2">
        <w:t xml:space="preserve"> as the basis</w:t>
      </w:r>
      <w:r>
        <w:t xml:space="preserve">, the other MEB consumption sectors </w:t>
      </w:r>
      <w:r w:rsidR="003F75B6">
        <w:t xml:space="preserve">are reduced </w:t>
      </w:r>
      <w:r>
        <w:t xml:space="preserve">by the same proportion. In complementarity with the Myanmar MEB, the other broad consumption sectors, including shelter, non-food items, and ‘other’ category, are assigned the same proportion as they were in the full MEB. </w:t>
      </w:r>
      <w:r w:rsidR="009723CB">
        <w:t xml:space="preserve">Finally, the SMEB is rounded to the nearest 5,000 MMK </w:t>
      </w:r>
      <w:r w:rsidR="00BE59E2">
        <w:t xml:space="preserve">for ease of distribution. </w:t>
      </w:r>
    </w:p>
    <w:p w14:paraId="0E2EAE0B" w14:textId="10981649" w:rsidR="00CC16EE" w:rsidRDefault="00CC16EE"/>
    <w:tbl>
      <w:tblPr>
        <w:tblW w:w="9625" w:type="dxa"/>
        <w:tblLayout w:type="fixed"/>
        <w:tblLook w:val="04A0" w:firstRow="1" w:lastRow="0" w:firstColumn="1" w:lastColumn="0" w:noHBand="0" w:noVBand="1"/>
      </w:tblPr>
      <w:tblGrid>
        <w:gridCol w:w="1253"/>
        <w:gridCol w:w="1174"/>
        <w:gridCol w:w="1265"/>
        <w:gridCol w:w="1167"/>
        <w:gridCol w:w="1080"/>
        <w:gridCol w:w="1168"/>
        <w:gridCol w:w="1257"/>
        <w:gridCol w:w="1261"/>
      </w:tblGrid>
      <w:tr w:rsidR="00885F43" w:rsidRPr="00500BC2" w14:paraId="3DBC2757" w14:textId="77777777" w:rsidTr="00885F43">
        <w:trPr>
          <w:trHeight w:val="2280"/>
        </w:trPr>
        <w:tc>
          <w:tcPr>
            <w:tcW w:w="651" w:type="pct"/>
            <w:tcBorders>
              <w:top w:val="single" w:sz="4" w:space="0" w:color="auto"/>
              <w:left w:val="single" w:sz="4" w:space="0" w:color="auto"/>
              <w:bottom w:val="single" w:sz="4" w:space="0" w:color="auto"/>
              <w:right w:val="single" w:sz="4" w:space="0" w:color="auto"/>
            </w:tcBorders>
            <w:shd w:val="clear" w:color="5B95F9" w:fill="8CB5F9"/>
            <w:hideMark/>
          </w:tcPr>
          <w:p w14:paraId="795B72E9" w14:textId="77777777" w:rsidR="00500BC2" w:rsidRPr="00500BC2" w:rsidRDefault="00500BC2" w:rsidP="00500BC2">
            <w:pPr>
              <w:spacing w:line="240" w:lineRule="auto"/>
              <w:jc w:val="center"/>
              <w:rPr>
                <w:rFonts w:eastAsia="Times New Roman"/>
                <w:b/>
                <w:bCs/>
                <w:color w:val="000000"/>
                <w:sz w:val="20"/>
                <w:szCs w:val="20"/>
                <w:lang w:val="en-US" w:eastAsia="en-US"/>
              </w:rPr>
            </w:pPr>
            <w:r w:rsidRPr="00500BC2">
              <w:rPr>
                <w:rFonts w:eastAsia="Times New Roman"/>
                <w:b/>
                <w:bCs/>
                <w:color w:val="000000"/>
                <w:sz w:val="20"/>
                <w:szCs w:val="20"/>
                <w:lang w:val="en-US" w:eastAsia="en-US"/>
              </w:rPr>
              <w:t>State</w:t>
            </w:r>
          </w:p>
        </w:tc>
        <w:tc>
          <w:tcPr>
            <w:tcW w:w="610" w:type="pct"/>
            <w:tcBorders>
              <w:top w:val="single" w:sz="4" w:space="0" w:color="auto"/>
              <w:left w:val="single" w:sz="4" w:space="0" w:color="auto"/>
              <w:bottom w:val="single" w:sz="4" w:space="0" w:color="auto"/>
              <w:right w:val="single" w:sz="4" w:space="0" w:color="auto"/>
            </w:tcBorders>
            <w:shd w:val="clear" w:color="5B95F9" w:fill="8CB5F9"/>
            <w:hideMark/>
          </w:tcPr>
          <w:p w14:paraId="44545F1D" w14:textId="18204E82" w:rsidR="00500BC2" w:rsidRPr="00500BC2" w:rsidRDefault="00500BC2" w:rsidP="00500BC2">
            <w:pPr>
              <w:spacing w:line="240" w:lineRule="auto"/>
              <w:jc w:val="center"/>
              <w:rPr>
                <w:rFonts w:eastAsia="Times New Roman"/>
                <w:b/>
                <w:bCs/>
                <w:color w:val="000000"/>
                <w:sz w:val="20"/>
                <w:szCs w:val="20"/>
                <w:lang w:val="en-US" w:eastAsia="en-US"/>
              </w:rPr>
            </w:pPr>
            <w:r w:rsidRPr="00500BC2">
              <w:rPr>
                <w:rFonts w:eastAsia="Times New Roman"/>
                <w:b/>
                <w:bCs/>
                <w:color w:val="000000"/>
                <w:sz w:val="20"/>
                <w:szCs w:val="20"/>
                <w:lang w:val="en-US" w:eastAsia="en-US"/>
              </w:rPr>
              <w:t>Cost of Individual full food ration (</w:t>
            </w:r>
            <w:r w:rsidR="0090003C">
              <w:rPr>
                <w:rFonts w:eastAsia="Times New Roman"/>
                <w:b/>
                <w:bCs/>
                <w:color w:val="000000"/>
                <w:sz w:val="20"/>
                <w:szCs w:val="20"/>
                <w:lang w:val="en-US" w:eastAsia="en-US"/>
              </w:rPr>
              <w:t>May 2023</w:t>
            </w:r>
            <w:r w:rsidRPr="00500BC2">
              <w:rPr>
                <w:rFonts w:eastAsia="Times New Roman"/>
                <w:b/>
                <w:bCs/>
                <w:color w:val="000000"/>
                <w:sz w:val="20"/>
                <w:szCs w:val="20"/>
                <w:lang w:val="en-US" w:eastAsia="en-US"/>
              </w:rPr>
              <w:t>)</w:t>
            </w:r>
          </w:p>
        </w:tc>
        <w:tc>
          <w:tcPr>
            <w:tcW w:w="657" w:type="pct"/>
            <w:tcBorders>
              <w:top w:val="single" w:sz="4" w:space="0" w:color="auto"/>
              <w:left w:val="single" w:sz="4" w:space="0" w:color="auto"/>
              <w:bottom w:val="single" w:sz="4" w:space="0" w:color="auto"/>
              <w:right w:val="single" w:sz="4" w:space="0" w:color="auto"/>
            </w:tcBorders>
            <w:shd w:val="clear" w:color="5B95F9" w:fill="8CB5F9"/>
            <w:hideMark/>
          </w:tcPr>
          <w:p w14:paraId="73D1A8C9" w14:textId="789B4C05" w:rsidR="00500BC2" w:rsidRPr="00500BC2" w:rsidRDefault="00500BC2" w:rsidP="00500BC2">
            <w:pPr>
              <w:spacing w:line="240" w:lineRule="auto"/>
              <w:jc w:val="center"/>
              <w:rPr>
                <w:rFonts w:eastAsia="Times New Roman"/>
                <w:b/>
                <w:bCs/>
                <w:color w:val="000000"/>
                <w:sz w:val="20"/>
                <w:szCs w:val="20"/>
                <w:lang w:val="en-US" w:eastAsia="en-US"/>
              </w:rPr>
            </w:pPr>
            <w:r w:rsidRPr="00500BC2">
              <w:rPr>
                <w:rFonts w:eastAsia="Times New Roman"/>
                <w:b/>
                <w:bCs/>
                <w:color w:val="000000"/>
                <w:sz w:val="20"/>
                <w:szCs w:val="20"/>
                <w:lang w:val="en-US" w:eastAsia="en-US"/>
              </w:rPr>
              <w:t xml:space="preserve">Shelter (recurring not shelter </w:t>
            </w:r>
            <w:r w:rsidR="00885F43">
              <w:rPr>
                <w:rFonts w:eastAsia="Times New Roman"/>
                <w:b/>
                <w:bCs/>
                <w:color w:val="000000"/>
                <w:sz w:val="20"/>
                <w:szCs w:val="20"/>
                <w:lang w:val="en-US" w:eastAsia="en-US"/>
              </w:rPr>
              <w:t>building</w:t>
            </w:r>
            <w:r w:rsidRPr="00500BC2">
              <w:rPr>
                <w:rFonts w:eastAsia="Times New Roman"/>
                <w:b/>
                <w:bCs/>
                <w:color w:val="000000"/>
                <w:sz w:val="20"/>
                <w:szCs w:val="20"/>
                <w:lang w:val="en-US" w:eastAsia="en-US"/>
              </w:rPr>
              <w:t xml:space="preserve"> materials) </w:t>
            </w:r>
            <w:r w:rsidRPr="00500BC2">
              <w:rPr>
                <w:rFonts w:eastAsia="Times New Roman"/>
                <w:b/>
                <w:bCs/>
                <w:color w:val="000000"/>
                <w:sz w:val="20"/>
                <w:szCs w:val="20"/>
                <w:lang w:val="en-US" w:eastAsia="en-US"/>
              </w:rPr>
              <w:br/>
              <w:t>10% of SMEB</w:t>
            </w:r>
          </w:p>
        </w:tc>
        <w:tc>
          <w:tcPr>
            <w:tcW w:w="606" w:type="pct"/>
            <w:tcBorders>
              <w:top w:val="single" w:sz="4" w:space="0" w:color="auto"/>
              <w:left w:val="single" w:sz="4" w:space="0" w:color="auto"/>
              <w:bottom w:val="single" w:sz="4" w:space="0" w:color="auto"/>
              <w:right w:val="single" w:sz="4" w:space="0" w:color="auto"/>
            </w:tcBorders>
            <w:shd w:val="clear" w:color="5B95F9" w:fill="8CB5F9"/>
            <w:hideMark/>
          </w:tcPr>
          <w:p w14:paraId="4D450B46" w14:textId="220EC829" w:rsidR="00500BC2" w:rsidRPr="00500BC2" w:rsidRDefault="00500BC2" w:rsidP="00500BC2">
            <w:pPr>
              <w:spacing w:line="240" w:lineRule="auto"/>
              <w:jc w:val="center"/>
              <w:rPr>
                <w:rFonts w:eastAsia="Times New Roman"/>
                <w:b/>
                <w:bCs/>
                <w:color w:val="000000"/>
                <w:sz w:val="20"/>
                <w:szCs w:val="20"/>
                <w:lang w:val="en-US" w:eastAsia="en-US"/>
              </w:rPr>
            </w:pPr>
            <w:r w:rsidRPr="00500BC2">
              <w:rPr>
                <w:rFonts w:eastAsia="Times New Roman"/>
                <w:b/>
                <w:bCs/>
                <w:color w:val="000000"/>
                <w:sz w:val="20"/>
                <w:szCs w:val="20"/>
                <w:lang w:val="en-US" w:eastAsia="en-US"/>
              </w:rPr>
              <w:t>Non-Food Items (health not included)</w:t>
            </w:r>
            <w:r w:rsidRPr="00500BC2">
              <w:rPr>
                <w:rFonts w:eastAsia="Times New Roman"/>
                <w:b/>
                <w:bCs/>
                <w:color w:val="000000"/>
                <w:sz w:val="20"/>
                <w:szCs w:val="20"/>
                <w:lang w:val="en-US" w:eastAsia="en-US"/>
              </w:rPr>
              <w:br/>
              <w:t>21% of SEMB</w:t>
            </w:r>
          </w:p>
        </w:tc>
        <w:tc>
          <w:tcPr>
            <w:tcW w:w="561" w:type="pct"/>
            <w:tcBorders>
              <w:top w:val="single" w:sz="4" w:space="0" w:color="auto"/>
              <w:left w:val="single" w:sz="4" w:space="0" w:color="auto"/>
              <w:bottom w:val="single" w:sz="4" w:space="0" w:color="auto"/>
              <w:right w:val="single" w:sz="4" w:space="0" w:color="auto"/>
            </w:tcBorders>
            <w:shd w:val="clear" w:color="5B95F9" w:fill="8CB5F9"/>
            <w:hideMark/>
          </w:tcPr>
          <w:p w14:paraId="6CCE57C4" w14:textId="77777777" w:rsidR="00500BC2" w:rsidRPr="00500BC2" w:rsidRDefault="00500BC2" w:rsidP="00500BC2">
            <w:pPr>
              <w:spacing w:line="240" w:lineRule="auto"/>
              <w:jc w:val="center"/>
              <w:rPr>
                <w:rFonts w:eastAsia="Times New Roman"/>
                <w:b/>
                <w:bCs/>
                <w:color w:val="000000"/>
                <w:sz w:val="20"/>
                <w:szCs w:val="20"/>
                <w:lang w:val="en-US" w:eastAsia="en-US"/>
              </w:rPr>
            </w:pPr>
            <w:r w:rsidRPr="00500BC2">
              <w:rPr>
                <w:rFonts w:eastAsia="Times New Roman"/>
                <w:b/>
                <w:bCs/>
                <w:color w:val="000000"/>
                <w:sz w:val="20"/>
                <w:szCs w:val="20"/>
                <w:lang w:val="en-US" w:eastAsia="en-US"/>
              </w:rPr>
              <w:t>Other</w:t>
            </w:r>
            <w:r w:rsidRPr="00500BC2">
              <w:rPr>
                <w:rFonts w:eastAsia="Times New Roman"/>
                <w:b/>
                <w:bCs/>
                <w:color w:val="000000"/>
                <w:sz w:val="20"/>
                <w:szCs w:val="20"/>
                <w:lang w:val="en-US" w:eastAsia="en-US"/>
              </w:rPr>
              <w:br/>
              <w:t>4% of SMEB</w:t>
            </w:r>
          </w:p>
        </w:tc>
        <w:tc>
          <w:tcPr>
            <w:tcW w:w="607" w:type="pct"/>
            <w:tcBorders>
              <w:top w:val="single" w:sz="4" w:space="0" w:color="auto"/>
              <w:left w:val="single" w:sz="4" w:space="0" w:color="auto"/>
              <w:bottom w:val="single" w:sz="4" w:space="0" w:color="auto"/>
              <w:right w:val="single" w:sz="4" w:space="0" w:color="auto"/>
            </w:tcBorders>
            <w:shd w:val="clear" w:color="5B95F9" w:fill="8CB5F9"/>
            <w:hideMark/>
          </w:tcPr>
          <w:p w14:paraId="4309E427" w14:textId="77777777" w:rsidR="00500BC2" w:rsidRPr="00500BC2" w:rsidRDefault="00500BC2" w:rsidP="00500BC2">
            <w:pPr>
              <w:spacing w:line="240" w:lineRule="auto"/>
              <w:jc w:val="center"/>
              <w:rPr>
                <w:rFonts w:eastAsia="Times New Roman"/>
                <w:b/>
                <w:bCs/>
                <w:color w:val="000000"/>
                <w:sz w:val="20"/>
                <w:szCs w:val="20"/>
                <w:lang w:val="en-US" w:eastAsia="en-US"/>
              </w:rPr>
            </w:pPr>
            <w:r w:rsidRPr="00500BC2">
              <w:rPr>
                <w:rFonts w:eastAsia="Times New Roman"/>
                <w:b/>
                <w:bCs/>
                <w:color w:val="000000"/>
                <w:sz w:val="20"/>
                <w:szCs w:val="20"/>
                <w:lang w:val="en-US" w:eastAsia="en-US"/>
              </w:rPr>
              <w:t>Total Cost of SMEB per individual</w:t>
            </w:r>
          </w:p>
        </w:tc>
        <w:tc>
          <w:tcPr>
            <w:tcW w:w="653" w:type="pct"/>
            <w:tcBorders>
              <w:top w:val="single" w:sz="4" w:space="0" w:color="auto"/>
              <w:left w:val="single" w:sz="4" w:space="0" w:color="auto"/>
              <w:bottom w:val="single" w:sz="4" w:space="0" w:color="auto"/>
              <w:right w:val="nil"/>
            </w:tcBorders>
            <w:shd w:val="clear" w:color="5B95F9" w:fill="8CB5F9"/>
            <w:hideMark/>
          </w:tcPr>
          <w:p w14:paraId="6D828003" w14:textId="77777777" w:rsidR="00500BC2" w:rsidRPr="00500BC2" w:rsidRDefault="00500BC2" w:rsidP="00500BC2">
            <w:pPr>
              <w:spacing w:line="240" w:lineRule="auto"/>
              <w:jc w:val="center"/>
              <w:rPr>
                <w:rFonts w:eastAsia="Times New Roman"/>
                <w:b/>
                <w:bCs/>
                <w:color w:val="000000"/>
                <w:sz w:val="20"/>
                <w:szCs w:val="20"/>
                <w:lang w:val="en-US" w:eastAsia="en-US"/>
              </w:rPr>
            </w:pPr>
            <w:r w:rsidRPr="00500BC2">
              <w:rPr>
                <w:rFonts w:eastAsia="Times New Roman"/>
                <w:b/>
                <w:bCs/>
                <w:color w:val="000000"/>
                <w:sz w:val="20"/>
                <w:szCs w:val="20"/>
                <w:lang w:val="en-US" w:eastAsia="en-US"/>
              </w:rPr>
              <w:t>Cost of SMEB for a household of 5</w:t>
            </w:r>
          </w:p>
        </w:tc>
        <w:tc>
          <w:tcPr>
            <w:tcW w:w="655" w:type="pct"/>
            <w:tcBorders>
              <w:top w:val="single" w:sz="4" w:space="0" w:color="auto"/>
              <w:left w:val="single" w:sz="4" w:space="0" w:color="auto"/>
              <w:bottom w:val="single" w:sz="4" w:space="0" w:color="auto"/>
              <w:right w:val="single" w:sz="4" w:space="0" w:color="auto"/>
            </w:tcBorders>
            <w:shd w:val="clear" w:color="5B95F9" w:fill="8CB5F9"/>
            <w:hideMark/>
          </w:tcPr>
          <w:p w14:paraId="4275D6BF" w14:textId="6137CD7F" w:rsidR="00500BC2" w:rsidRPr="00500BC2" w:rsidRDefault="00500BC2" w:rsidP="00500BC2">
            <w:pPr>
              <w:spacing w:line="240" w:lineRule="auto"/>
              <w:jc w:val="center"/>
              <w:rPr>
                <w:rFonts w:eastAsia="Times New Roman"/>
                <w:b/>
                <w:bCs/>
                <w:color w:val="000000"/>
                <w:sz w:val="20"/>
                <w:szCs w:val="20"/>
                <w:lang w:val="en-US" w:eastAsia="en-US"/>
              </w:rPr>
            </w:pPr>
            <w:r w:rsidRPr="00500BC2">
              <w:rPr>
                <w:rFonts w:eastAsia="Times New Roman"/>
                <w:b/>
                <w:bCs/>
                <w:color w:val="000000"/>
                <w:sz w:val="20"/>
                <w:szCs w:val="20"/>
                <w:lang w:val="en-US" w:eastAsia="en-US"/>
              </w:rPr>
              <w:t>Cost of SMEB for a household of 5. Rounded to nearest 5,000</w:t>
            </w:r>
            <w:r w:rsidR="009723CB">
              <w:rPr>
                <w:rFonts w:eastAsia="Times New Roman"/>
                <w:b/>
                <w:bCs/>
                <w:color w:val="000000"/>
                <w:sz w:val="20"/>
                <w:szCs w:val="20"/>
                <w:lang w:val="en-US" w:eastAsia="en-US"/>
              </w:rPr>
              <w:t xml:space="preserve"> MMK</w:t>
            </w:r>
          </w:p>
        </w:tc>
      </w:tr>
      <w:tr w:rsidR="00885F43" w:rsidRPr="00500BC2" w14:paraId="6E69FB24" w14:textId="77777777" w:rsidTr="00885F43">
        <w:trPr>
          <w:trHeight w:val="315"/>
        </w:trPr>
        <w:tc>
          <w:tcPr>
            <w:tcW w:w="651" w:type="pct"/>
            <w:tcBorders>
              <w:top w:val="single" w:sz="4" w:space="0" w:color="auto"/>
              <w:left w:val="single" w:sz="4" w:space="0" w:color="auto"/>
              <w:bottom w:val="single" w:sz="4" w:space="0" w:color="auto"/>
              <w:right w:val="single" w:sz="4" w:space="0" w:color="auto"/>
            </w:tcBorders>
            <w:shd w:val="clear" w:color="FFFFFF" w:fill="FFFFFF"/>
            <w:noWrap/>
            <w:hideMark/>
          </w:tcPr>
          <w:p w14:paraId="763E1928" w14:textId="77777777" w:rsidR="00500BC2" w:rsidRPr="00500BC2" w:rsidRDefault="00500BC2" w:rsidP="00500BC2">
            <w:pPr>
              <w:spacing w:line="240" w:lineRule="auto"/>
              <w:rPr>
                <w:rFonts w:eastAsia="Times New Roman"/>
                <w:color w:val="000000"/>
                <w:sz w:val="20"/>
                <w:szCs w:val="20"/>
                <w:lang w:val="en-US" w:eastAsia="en-US"/>
              </w:rPr>
            </w:pPr>
            <w:r w:rsidRPr="00500BC2">
              <w:rPr>
                <w:rFonts w:eastAsia="Times New Roman"/>
                <w:color w:val="000000"/>
                <w:sz w:val="20"/>
                <w:szCs w:val="20"/>
                <w:lang w:val="en-US" w:eastAsia="en-US"/>
              </w:rPr>
              <w:t>Nationwide</w:t>
            </w:r>
          </w:p>
        </w:tc>
        <w:tc>
          <w:tcPr>
            <w:tcW w:w="610" w:type="pct"/>
            <w:tcBorders>
              <w:top w:val="single" w:sz="4" w:space="0" w:color="auto"/>
              <w:left w:val="single" w:sz="4" w:space="0" w:color="auto"/>
              <w:bottom w:val="single" w:sz="4" w:space="0" w:color="auto"/>
              <w:right w:val="single" w:sz="4" w:space="0" w:color="auto"/>
            </w:tcBorders>
            <w:shd w:val="clear" w:color="FFFFFF" w:fill="FFFFFF"/>
            <w:noWrap/>
            <w:hideMark/>
          </w:tcPr>
          <w:p w14:paraId="47580A98" w14:textId="35AF23A7" w:rsidR="00500BC2" w:rsidRPr="00500BC2" w:rsidRDefault="009359A8" w:rsidP="00500BC2">
            <w:pPr>
              <w:spacing w:line="240" w:lineRule="auto"/>
              <w:jc w:val="right"/>
              <w:rPr>
                <w:rFonts w:eastAsia="Times New Roman"/>
                <w:color w:val="000000"/>
                <w:sz w:val="20"/>
                <w:szCs w:val="20"/>
                <w:lang w:val="en-US" w:eastAsia="en-US"/>
              </w:rPr>
            </w:pPr>
            <w:r>
              <w:rPr>
                <w:rFonts w:eastAsia="Times New Roman"/>
                <w:color w:val="000000"/>
                <w:sz w:val="20"/>
                <w:szCs w:val="20"/>
                <w:lang w:val="en-US" w:eastAsia="en-US"/>
              </w:rPr>
              <w:t>32,706</w:t>
            </w:r>
            <w:r w:rsidR="00500BC2" w:rsidRPr="00500BC2">
              <w:rPr>
                <w:rFonts w:eastAsia="Times New Roman"/>
                <w:color w:val="000000"/>
                <w:sz w:val="20"/>
                <w:szCs w:val="20"/>
                <w:lang w:val="en-US" w:eastAsia="en-US"/>
              </w:rPr>
              <w:t>K</w:t>
            </w:r>
          </w:p>
        </w:tc>
        <w:tc>
          <w:tcPr>
            <w:tcW w:w="657" w:type="pct"/>
            <w:tcBorders>
              <w:top w:val="single" w:sz="4" w:space="0" w:color="auto"/>
              <w:left w:val="single" w:sz="4" w:space="0" w:color="auto"/>
              <w:bottom w:val="single" w:sz="4" w:space="0" w:color="auto"/>
              <w:right w:val="single" w:sz="4" w:space="0" w:color="auto"/>
            </w:tcBorders>
            <w:shd w:val="clear" w:color="FFFFFF" w:fill="FFFFFF"/>
            <w:noWrap/>
            <w:hideMark/>
          </w:tcPr>
          <w:p w14:paraId="179B34D3" w14:textId="67D8E7DE" w:rsidR="00500BC2" w:rsidRPr="00500BC2" w:rsidRDefault="009359A8" w:rsidP="00500BC2">
            <w:pPr>
              <w:spacing w:line="240" w:lineRule="auto"/>
              <w:jc w:val="right"/>
              <w:rPr>
                <w:rFonts w:eastAsia="Times New Roman"/>
                <w:color w:val="000000"/>
                <w:sz w:val="20"/>
                <w:szCs w:val="20"/>
                <w:lang w:val="en-US" w:eastAsia="en-US"/>
              </w:rPr>
            </w:pPr>
            <w:r>
              <w:rPr>
                <w:rFonts w:eastAsia="Times New Roman"/>
                <w:color w:val="000000"/>
                <w:sz w:val="20"/>
                <w:szCs w:val="20"/>
                <w:lang w:val="en-US" w:eastAsia="en-US"/>
              </w:rPr>
              <w:t>5,032</w:t>
            </w:r>
            <w:r w:rsidR="00500BC2" w:rsidRPr="00500BC2">
              <w:rPr>
                <w:rFonts w:eastAsia="Times New Roman"/>
                <w:color w:val="000000"/>
                <w:sz w:val="20"/>
                <w:szCs w:val="20"/>
                <w:lang w:val="en-US" w:eastAsia="en-US"/>
              </w:rPr>
              <w:t xml:space="preserve"> K</w:t>
            </w:r>
          </w:p>
        </w:tc>
        <w:tc>
          <w:tcPr>
            <w:tcW w:w="606" w:type="pct"/>
            <w:tcBorders>
              <w:top w:val="single" w:sz="4" w:space="0" w:color="auto"/>
              <w:left w:val="single" w:sz="4" w:space="0" w:color="auto"/>
              <w:bottom w:val="single" w:sz="4" w:space="0" w:color="auto"/>
              <w:right w:val="single" w:sz="4" w:space="0" w:color="auto"/>
            </w:tcBorders>
            <w:shd w:val="clear" w:color="FFFFFF" w:fill="FFFFFF"/>
            <w:noWrap/>
            <w:hideMark/>
          </w:tcPr>
          <w:p w14:paraId="384640B2" w14:textId="6AD6FFFD" w:rsidR="00500BC2" w:rsidRPr="00500BC2" w:rsidRDefault="009359A8" w:rsidP="00500BC2">
            <w:pPr>
              <w:spacing w:line="240" w:lineRule="auto"/>
              <w:jc w:val="right"/>
              <w:rPr>
                <w:rFonts w:eastAsia="Times New Roman"/>
                <w:color w:val="000000"/>
                <w:sz w:val="20"/>
                <w:szCs w:val="20"/>
                <w:lang w:val="en-US" w:eastAsia="en-US"/>
              </w:rPr>
            </w:pPr>
            <w:r>
              <w:rPr>
                <w:rFonts w:eastAsia="Times New Roman"/>
                <w:color w:val="000000"/>
                <w:sz w:val="20"/>
                <w:szCs w:val="20"/>
                <w:lang w:val="en-US" w:eastAsia="en-US"/>
              </w:rPr>
              <w:t>10,567</w:t>
            </w:r>
            <w:r w:rsidR="00500BC2" w:rsidRPr="00500BC2">
              <w:rPr>
                <w:rFonts w:eastAsia="Times New Roman"/>
                <w:color w:val="000000"/>
                <w:sz w:val="20"/>
                <w:szCs w:val="20"/>
                <w:lang w:val="en-US" w:eastAsia="en-US"/>
              </w:rPr>
              <w:t xml:space="preserve"> K</w:t>
            </w:r>
          </w:p>
        </w:tc>
        <w:tc>
          <w:tcPr>
            <w:tcW w:w="561" w:type="pct"/>
            <w:tcBorders>
              <w:top w:val="single" w:sz="4" w:space="0" w:color="auto"/>
              <w:left w:val="single" w:sz="4" w:space="0" w:color="auto"/>
              <w:bottom w:val="single" w:sz="4" w:space="0" w:color="auto"/>
              <w:right w:val="single" w:sz="4" w:space="0" w:color="auto"/>
            </w:tcBorders>
            <w:shd w:val="clear" w:color="FFFFFF" w:fill="FFFFFF"/>
            <w:noWrap/>
            <w:hideMark/>
          </w:tcPr>
          <w:p w14:paraId="7A2CAF6C" w14:textId="78C530B6" w:rsidR="00500BC2" w:rsidRPr="00500BC2" w:rsidRDefault="009359A8" w:rsidP="00500BC2">
            <w:pPr>
              <w:spacing w:line="240" w:lineRule="auto"/>
              <w:jc w:val="right"/>
              <w:rPr>
                <w:rFonts w:eastAsia="Times New Roman"/>
                <w:color w:val="000000"/>
                <w:sz w:val="20"/>
                <w:szCs w:val="20"/>
                <w:lang w:val="en-US" w:eastAsia="en-US"/>
              </w:rPr>
            </w:pPr>
            <w:r>
              <w:rPr>
                <w:rFonts w:eastAsia="Times New Roman"/>
                <w:color w:val="000000"/>
                <w:sz w:val="20"/>
                <w:szCs w:val="20"/>
                <w:lang w:val="en-US" w:eastAsia="en-US"/>
              </w:rPr>
              <w:t>2,013</w:t>
            </w:r>
            <w:r w:rsidR="00500BC2" w:rsidRPr="00500BC2">
              <w:rPr>
                <w:rFonts w:eastAsia="Times New Roman"/>
                <w:color w:val="000000"/>
                <w:sz w:val="20"/>
                <w:szCs w:val="20"/>
                <w:lang w:val="en-US" w:eastAsia="en-US"/>
              </w:rPr>
              <w:t xml:space="preserve"> K</w:t>
            </w:r>
          </w:p>
        </w:tc>
        <w:tc>
          <w:tcPr>
            <w:tcW w:w="607" w:type="pct"/>
            <w:tcBorders>
              <w:top w:val="single" w:sz="4" w:space="0" w:color="auto"/>
              <w:left w:val="single" w:sz="4" w:space="0" w:color="auto"/>
              <w:bottom w:val="single" w:sz="4" w:space="0" w:color="auto"/>
              <w:right w:val="single" w:sz="4" w:space="0" w:color="auto"/>
            </w:tcBorders>
            <w:shd w:val="clear" w:color="FFFFFF" w:fill="FFFFFF"/>
            <w:noWrap/>
            <w:hideMark/>
          </w:tcPr>
          <w:p w14:paraId="1F52BC5F" w14:textId="266FC192" w:rsidR="00500BC2" w:rsidRPr="00500BC2" w:rsidRDefault="0075230E" w:rsidP="00500BC2">
            <w:pPr>
              <w:spacing w:line="240" w:lineRule="auto"/>
              <w:jc w:val="right"/>
              <w:rPr>
                <w:rFonts w:eastAsia="Times New Roman"/>
                <w:color w:val="000000"/>
                <w:sz w:val="20"/>
                <w:szCs w:val="20"/>
                <w:lang w:val="en-US" w:eastAsia="en-US"/>
              </w:rPr>
            </w:pPr>
            <w:r>
              <w:rPr>
                <w:rFonts w:eastAsia="Times New Roman"/>
                <w:color w:val="000000"/>
                <w:sz w:val="20"/>
                <w:szCs w:val="20"/>
                <w:lang w:val="en-US" w:eastAsia="en-US"/>
              </w:rPr>
              <w:t>50,317</w:t>
            </w:r>
            <w:r w:rsidR="00500BC2" w:rsidRPr="00500BC2">
              <w:rPr>
                <w:rFonts w:eastAsia="Times New Roman"/>
                <w:color w:val="000000"/>
                <w:sz w:val="20"/>
                <w:szCs w:val="20"/>
                <w:lang w:val="en-US" w:eastAsia="en-US"/>
              </w:rPr>
              <w:t xml:space="preserve"> K</w:t>
            </w:r>
          </w:p>
        </w:tc>
        <w:tc>
          <w:tcPr>
            <w:tcW w:w="653" w:type="pct"/>
            <w:tcBorders>
              <w:top w:val="single" w:sz="4" w:space="0" w:color="auto"/>
              <w:left w:val="single" w:sz="4" w:space="0" w:color="auto"/>
              <w:bottom w:val="single" w:sz="4" w:space="0" w:color="auto"/>
              <w:right w:val="nil"/>
            </w:tcBorders>
            <w:shd w:val="clear" w:color="FFFFFF" w:fill="FFFFFF"/>
            <w:noWrap/>
            <w:hideMark/>
          </w:tcPr>
          <w:p w14:paraId="44113EFC" w14:textId="4097B817" w:rsidR="00500BC2" w:rsidRPr="00500BC2" w:rsidRDefault="0075230E" w:rsidP="00500BC2">
            <w:pPr>
              <w:spacing w:line="240" w:lineRule="auto"/>
              <w:jc w:val="right"/>
              <w:rPr>
                <w:rFonts w:eastAsia="Times New Roman"/>
                <w:color w:val="000000"/>
                <w:sz w:val="20"/>
                <w:szCs w:val="20"/>
                <w:lang w:val="en-US" w:eastAsia="en-US"/>
              </w:rPr>
            </w:pPr>
            <w:r>
              <w:rPr>
                <w:rFonts w:eastAsia="Times New Roman"/>
                <w:color w:val="000000"/>
                <w:sz w:val="20"/>
                <w:szCs w:val="20"/>
                <w:lang w:val="en-US" w:eastAsia="en-US"/>
              </w:rPr>
              <w:t>251,584</w:t>
            </w:r>
            <w:r w:rsidR="00500BC2" w:rsidRPr="00500BC2">
              <w:rPr>
                <w:rFonts w:eastAsia="Times New Roman"/>
                <w:color w:val="000000"/>
                <w:sz w:val="20"/>
                <w:szCs w:val="20"/>
                <w:lang w:val="en-US" w:eastAsia="en-US"/>
              </w:rPr>
              <w:t xml:space="preserve"> K</w:t>
            </w:r>
          </w:p>
        </w:tc>
        <w:tc>
          <w:tcPr>
            <w:tcW w:w="655" w:type="pct"/>
            <w:tcBorders>
              <w:top w:val="nil"/>
              <w:left w:val="single" w:sz="4" w:space="0" w:color="auto"/>
              <w:bottom w:val="single" w:sz="4" w:space="0" w:color="auto"/>
              <w:right w:val="single" w:sz="4" w:space="0" w:color="auto"/>
            </w:tcBorders>
            <w:shd w:val="clear" w:color="FFFFFF" w:fill="FFFFFF"/>
            <w:noWrap/>
            <w:hideMark/>
          </w:tcPr>
          <w:p w14:paraId="64AA2568" w14:textId="0535883C" w:rsidR="00500BC2" w:rsidRPr="00500BC2" w:rsidRDefault="0075230E" w:rsidP="0075230E">
            <w:pPr>
              <w:spacing w:line="240" w:lineRule="auto"/>
              <w:jc w:val="right"/>
              <w:rPr>
                <w:rFonts w:eastAsia="Times New Roman"/>
                <w:b/>
                <w:bCs/>
                <w:color w:val="000000"/>
                <w:sz w:val="20"/>
                <w:szCs w:val="20"/>
                <w:lang w:val="en-US" w:eastAsia="en-US"/>
              </w:rPr>
            </w:pPr>
            <w:r>
              <w:rPr>
                <w:rFonts w:eastAsia="Times New Roman"/>
                <w:b/>
                <w:bCs/>
                <w:color w:val="000000"/>
                <w:sz w:val="20"/>
                <w:szCs w:val="20"/>
                <w:lang w:val="en-US" w:eastAsia="en-US"/>
              </w:rPr>
              <w:t>250,000</w:t>
            </w:r>
            <w:r w:rsidR="00500BC2" w:rsidRPr="00500BC2">
              <w:rPr>
                <w:rFonts w:eastAsia="Times New Roman"/>
                <w:b/>
                <w:bCs/>
                <w:color w:val="000000"/>
                <w:sz w:val="20"/>
                <w:szCs w:val="20"/>
                <w:lang w:val="en-US" w:eastAsia="en-US"/>
              </w:rPr>
              <w:t xml:space="preserve"> K</w:t>
            </w:r>
          </w:p>
        </w:tc>
      </w:tr>
    </w:tbl>
    <w:p w14:paraId="2FD78A61" w14:textId="77777777" w:rsidR="00CC16EE" w:rsidRDefault="00CC16EE"/>
    <w:p w14:paraId="7AE46F6B" w14:textId="7AA123FE" w:rsidR="00CC16EE" w:rsidRDefault="00CC16EE"/>
    <w:p w14:paraId="3234AA96" w14:textId="3B1577CA" w:rsidR="00CC16EE" w:rsidRDefault="000C2397">
      <w:pPr>
        <w:rPr>
          <w:b/>
          <w:u w:val="single"/>
        </w:rPr>
      </w:pPr>
      <w:r>
        <w:rPr>
          <w:b/>
          <w:u w:val="single"/>
        </w:rPr>
        <w:t>A</w:t>
      </w:r>
      <w:r w:rsidR="00A80A1B">
        <w:rPr>
          <w:b/>
          <w:u w:val="single"/>
        </w:rPr>
        <w:t>dvantages of the Proposed SMEB Methodology:</w:t>
      </w:r>
    </w:p>
    <w:p w14:paraId="298106F9" w14:textId="77777777" w:rsidR="00CC16EE" w:rsidRDefault="00CC16EE"/>
    <w:p w14:paraId="55F54710" w14:textId="77777777" w:rsidR="00CC16EE" w:rsidRDefault="00A80A1B">
      <w:pPr>
        <w:numPr>
          <w:ilvl w:val="0"/>
          <w:numId w:val="11"/>
        </w:numPr>
      </w:pPr>
      <w:r>
        <w:t>It provides complementarity with the MEB. It does not try to recreate the MEB and, at the same time, builds upon the work and data from the MEB.</w:t>
      </w:r>
    </w:p>
    <w:p w14:paraId="3DB40B07" w14:textId="3F978D66" w:rsidR="00CC16EE" w:rsidRDefault="00A80A1B">
      <w:pPr>
        <w:numPr>
          <w:ilvl w:val="0"/>
          <w:numId w:val="11"/>
        </w:numPr>
      </w:pPr>
      <w:r>
        <w:lastRenderedPageBreak/>
        <w:t xml:space="preserve">It </w:t>
      </w:r>
      <w:r w:rsidR="001F324C">
        <w:t>is harmonized with</w:t>
      </w:r>
      <w:r>
        <w:t xml:space="preserve"> WFP’s </w:t>
      </w:r>
      <w:r w:rsidR="001F324C">
        <w:t xml:space="preserve">calculation for </w:t>
      </w:r>
      <w:r w:rsidR="00487FC5">
        <w:t>food transfer value</w:t>
      </w:r>
      <w:r w:rsidR="001F324C">
        <w:t>s</w:t>
      </w:r>
      <w:r>
        <w:t xml:space="preserve">. In addition, since WFP Myanmar is the most prominent cash actor, many </w:t>
      </w:r>
      <w:r w:rsidR="00A57E4F">
        <w:t>other partners</w:t>
      </w:r>
      <w:r>
        <w:t xml:space="preserve"> use a similar methodology for calculating their CVA transfer values, </w:t>
      </w:r>
      <w:r w:rsidR="002F3ECC">
        <w:t>which will allow</w:t>
      </w:r>
      <w:r>
        <w:t xml:space="preserve"> for a </w:t>
      </w:r>
      <w:r w:rsidR="00CC66D8">
        <w:t>clearer</w:t>
      </w:r>
      <w:r>
        <w:t xml:space="preserve"> transition to MPCA</w:t>
      </w:r>
      <w:r w:rsidR="00CF4947">
        <w:t xml:space="preserve"> for those that choose to do so</w:t>
      </w:r>
      <w:r>
        <w:t>.</w:t>
      </w:r>
    </w:p>
    <w:p w14:paraId="3F17D9B2" w14:textId="40453061" w:rsidR="00CC16EE" w:rsidRDefault="00A80A1B">
      <w:pPr>
        <w:numPr>
          <w:ilvl w:val="0"/>
          <w:numId w:val="11"/>
        </w:numPr>
      </w:pPr>
      <w:r>
        <w:t xml:space="preserve">The market price monitoring system for food is already in place nationwide, and the CWG </w:t>
      </w:r>
      <w:r w:rsidR="00267ECC">
        <w:t>can</w:t>
      </w:r>
      <w:r>
        <w:t xml:space="preserve"> develop state and township-level SMEBs in locations where market price monitoring of</w:t>
      </w:r>
      <w:r w:rsidR="00CF4947">
        <w:t xml:space="preserve"> the</w:t>
      </w:r>
      <w:r>
        <w:t xml:space="preserve"> four core food commodities</w:t>
      </w:r>
      <w:r w:rsidR="00FE6BDD">
        <w:t xml:space="preserve"> is in place</w:t>
      </w:r>
      <w:r>
        <w:t xml:space="preserve"> (refer to annex 1). This SMEB </w:t>
      </w:r>
      <w:r w:rsidR="00267ECC">
        <w:t>can</w:t>
      </w:r>
      <w:r w:rsidR="009D43CD">
        <w:t xml:space="preserve"> </w:t>
      </w:r>
      <w:r>
        <w:t xml:space="preserve">also facilitate inflation adjustments every </w:t>
      </w:r>
      <w:r w:rsidR="009D43CD">
        <w:t>month depending on the needs o</w:t>
      </w:r>
      <w:r w:rsidR="006A3EAD">
        <w:t>f</w:t>
      </w:r>
      <w:r w:rsidR="009D43CD">
        <w:t xml:space="preserve"> partners</w:t>
      </w:r>
      <w:r>
        <w:t xml:space="preserve">. </w:t>
      </w:r>
      <w:r w:rsidR="009D43CD">
        <w:t xml:space="preserve">An </w:t>
      </w:r>
      <w:r>
        <w:t>itemized approach for the non-food sectors,</w:t>
      </w:r>
      <w:r w:rsidR="009D43CD">
        <w:t xml:space="preserve"> </w:t>
      </w:r>
      <w:r>
        <w:t xml:space="preserve">would require setting up a nationwide monitoring system for </w:t>
      </w:r>
      <w:r w:rsidR="009D43CD">
        <w:t xml:space="preserve">the agreed upon </w:t>
      </w:r>
      <w:r>
        <w:t xml:space="preserve">items, which is not in place. </w:t>
      </w:r>
    </w:p>
    <w:p w14:paraId="11074674" w14:textId="5139EACB" w:rsidR="00CC16EE" w:rsidRDefault="00A80A1B">
      <w:pPr>
        <w:numPr>
          <w:ilvl w:val="0"/>
          <w:numId w:val="11"/>
        </w:numPr>
      </w:pPr>
      <w:r>
        <w:t xml:space="preserve">It reiterates recurring monthly expenditures, aligning with the recurrent expenditure methodology of the MEB and the data from the Myanmar Living Conditions Survey (MLCS). </w:t>
      </w:r>
      <w:r w:rsidR="009D43CD">
        <w:t>An</w:t>
      </w:r>
      <w:r>
        <w:t xml:space="preserve"> Itemized approach for the non-food sectors</w:t>
      </w:r>
      <w:r w:rsidR="009D43CD">
        <w:t xml:space="preserve"> </w:t>
      </w:r>
      <w:r>
        <w:t xml:space="preserve">would likely need to include one-off items. As a result, it </w:t>
      </w:r>
      <w:r w:rsidR="005416F9">
        <w:t xml:space="preserve">could </w:t>
      </w:r>
      <w:r>
        <w:t>overemphasize the household expenditure o</w:t>
      </w:r>
      <w:r w:rsidR="00224730">
        <w:t>f</w:t>
      </w:r>
      <w:r>
        <w:t xml:space="preserve"> those sectors.</w:t>
      </w:r>
    </w:p>
    <w:p w14:paraId="5F2679E0" w14:textId="0582052A" w:rsidR="00CC16EE" w:rsidRDefault="00A80A1B">
      <w:pPr>
        <w:numPr>
          <w:ilvl w:val="0"/>
          <w:numId w:val="11"/>
        </w:numPr>
      </w:pPr>
      <w:r>
        <w:t xml:space="preserve">The proposed methodology can help inform MPCA transfer values. By not placing as much emphasis on specific sectors or even items, </w:t>
      </w:r>
      <w:r w:rsidR="00224730">
        <w:t>it</w:t>
      </w:r>
      <w:r>
        <w:t xml:space="preserve"> align</w:t>
      </w:r>
      <w:r w:rsidR="00224730">
        <w:t>s</w:t>
      </w:r>
      <w:r>
        <w:t xml:space="preserve"> better with the unrestricted </w:t>
      </w:r>
      <w:r w:rsidR="00224730">
        <w:t>and multi-sectoral outcomes</w:t>
      </w:r>
      <w:r>
        <w:t xml:space="preserve"> of MPCA.</w:t>
      </w:r>
    </w:p>
    <w:p w14:paraId="621E66E2" w14:textId="77777777" w:rsidR="00CC16EE" w:rsidRDefault="00CC16EE"/>
    <w:p w14:paraId="435DC424" w14:textId="77777777" w:rsidR="00CC16EE" w:rsidRDefault="00A80A1B">
      <w:pPr>
        <w:rPr>
          <w:b/>
          <w:u w:val="single"/>
        </w:rPr>
      </w:pPr>
      <w:r>
        <w:rPr>
          <w:b/>
          <w:u w:val="single"/>
        </w:rPr>
        <w:t>Disadvantages of the Proposed SMEB Methodology</w:t>
      </w:r>
    </w:p>
    <w:p w14:paraId="0C21DC85" w14:textId="36C2E1D3" w:rsidR="00CC16EE" w:rsidRDefault="00224730">
      <w:pPr>
        <w:numPr>
          <w:ilvl w:val="0"/>
          <w:numId w:val="9"/>
        </w:numPr>
      </w:pPr>
      <w:r>
        <w:t>The</w:t>
      </w:r>
      <w:r w:rsidR="00A80A1B">
        <w:t xml:space="preserve"> SMEB methodology relies solely on food inflation for adjusting the amounts, </w:t>
      </w:r>
      <w:r>
        <w:t xml:space="preserve">therefore </w:t>
      </w:r>
      <w:r w:rsidR="00A80A1B">
        <w:t xml:space="preserve">it does not </w:t>
      </w:r>
      <w:r>
        <w:t>account</w:t>
      </w:r>
      <w:r w:rsidR="00E407AD">
        <w:t xml:space="preserve"> </w:t>
      </w:r>
      <w:r w:rsidR="001E7EA0">
        <w:t xml:space="preserve">for </w:t>
      </w:r>
      <w:r w:rsidR="005D4A56">
        <w:t xml:space="preserve">different inflation rates </w:t>
      </w:r>
      <w:r w:rsidR="007B0785">
        <w:t>between</w:t>
      </w:r>
      <w:r w:rsidR="005D4A56">
        <w:t xml:space="preserve"> food and</w:t>
      </w:r>
      <w:r w:rsidR="00A80A1B">
        <w:t xml:space="preserve"> non-food items</w:t>
      </w:r>
      <w:r w:rsidR="005D4A56">
        <w:t xml:space="preserve">. </w:t>
      </w:r>
      <w:r w:rsidR="00A80A1B">
        <w:t xml:space="preserve">This could, over time, make the SMEB less accurate as it no longer aligns with previous data on household expenditure. For example, if food prices go up </w:t>
      </w:r>
      <w:r w:rsidR="005709EF">
        <w:t>faster than non-food</w:t>
      </w:r>
      <w:r w:rsidR="00A80A1B">
        <w:t>, this could result in a higher percentage of household expenditure devoted to food than previous data suggests. Therefore, it will be essential to monitor this and adjust the SMEB/MEB calculations accordingly.</w:t>
      </w:r>
    </w:p>
    <w:p w14:paraId="0A158E79" w14:textId="006AF80A" w:rsidR="00CC16EE" w:rsidRDefault="00A80A1B">
      <w:pPr>
        <w:numPr>
          <w:ilvl w:val="0"/>
          <w:numId w:val="9"/>
        </w:numPr>
      </w:pPr>
      <w:r>
        <w:t xml:space="preserve">If partners want to switch </w:t>
      </w:r>
      <w:r w:rsidR="00E03CF5">
        <w:t xml:space="preserve">from cash to in-kind for </w:t>
      </w:r>
      <w:r w:rsidR="00AE4291">
        <w:t>non-food items</w:t>
      </w:r>
      <w:r>
        <w:t xml:space="preserve">, </w:t>
      </w:r>
      <w:r w:rsidR="009723A5">
        <w:t>there is not a clear itemi</w:t>
      </w:r>
      <w:r w:rsidR="0092152A">
        <w:t>zed calculation</w:t>
      </w:r>
      <w:r w:rsidR="00374430">
        <w:t>. Therefore</w:t>
      </w:r>
      <w:r w:rsidR="007F30A9">
        <w:t>,</w:t>
      </w:r>
      <w:r w:rsidR="00374430">
        <w:t xml:space="preserve"> partners </w:t>
      </w:r>
      <w:r w:rsidR="00A673F4">
        <w:t xml:space="preserve">will have to decide themselves which items to </w:t>
      </w:r>
      <w:r w:rsidR="005C0F4D">
        <w:t>provide</w:t>
      </w:r>
      <w:r w:rsidR="00006C55">
        <w:t xml:space="preserve"> and how much that will cost. </w:t>
      </w:r>
    </w:p>
    <w:p w14:paraId="78076C3F" w14:textId="7FAB6594" w:rsidR="00CC16EE" w:rsidRDefault="00A80A1B">
      <w:pPr>
        <w:numPr>
          <w:ilvl w:val="0"/>
          <w:numId w:val="9"/>
        </w:numPr>
      </w:pPr>
      <w:r>
        <w:t xml:space="preserve">The proposed SMEB </w:t>
      </w:r>
      <w:r w:rsidR="00425B40">
        <w:t>switches</w:t>
      </w:r>
      <w:r>
        <w:t xml:space="preserve"> the MEB food basket calculation from a </w:t>
      </w:r>
      <w:r w:rsidR="00D80EDB">
        <w:t xml:space="preserve">typical </w:t>
      </w:r>
      <w:r w:rsidR="0001504B">
        <w:t xml:space="preserve">diverse </w:t>
      </w:r>
      <w:r>
        <w:t>food basket</w:t>
      </w:r>
      <w:r w:rsidR="0001504B">
        <w:t>,</w:t>
      </w:r>
      <w:r>
        <w:t xml:space="preserve"> to one that </w:t>
      </w:r>
      <w:r w:rsidR="00BB2B35">
        <w:t>meets k/</w:t>
      </w:r>
      <w:proofErr w:type="spellStart"/>
      <w:r w:rsidR="00BB2B35">
        <w:t>cal</w:t>
      </w:r>
      <w:proofErr w:type="spellEnd"/>
      <w:r w:rsidR="00BB2B35">
        <w:t xml:space="preserve"> needs</w:t>
      </w:r>
      <w:r w:rsidR="00834A90">
        <w:t xml:space="preserve">. </w:t>
      </w:r>
      <w:r>
        <w:t xml:space="preserve">If </w:t>
      </w:r>
      <w:r w:rsidR="00843622">
        <w:t>the other</w:t>
      </w:r>
      <w:r>
        <w:t xml:space="preserve"> consumption sectors</w:t>
      </w:r>
      <w:r w:rsidR="00D654B3">
        <w:t xml:space="preserve"> are</w:t>
      </w:r>
      <w:r>
        <w:t xml:space="preserve"> proportionally </w:t>
      </w:r>
      <w:r w:rsidR="00D16B39">
        <w:t xml:space="preserve">reduced by </w:t>
      </w:r>
      <w:r>
        <w:t>the same amount as food, it</w:t>
      </w:r>
      <w:r w:rsidR="00843622">
        <w:t xml:space="preserve"> is</w:t>
      </w:r>
      <w:r>
        <w:t xml:space="preserve"> unclear whether </w:t>
      </w:r>
      <w:r w:rsidR="00062F78">
        <w:t>the non-food</w:t>
      </w:r>
      <w:r>
        <w:t xml:space="preserve"> sectors can still meet survival needs. </w:t>
      </w:r>
    </w:p>
    <w:p w14:paraId="1007999A" w14:textId="77777777" w:rsidR="00CC16EE" w:rsidRDefault="00CC16EE"/>
    <w:p w14:paraId="0E9C50F6" w14:textId="580FAF23" w:rsidR="00CC16EE" w:rsidRDefault="00CC16EE">
      <w:pPr>
        <w:rPr>
          <w:b/>
          <w:u w:val="single"/>
        </w:rPr>
      </w:pPr>
    </w:p>
    <w:p w14:paraId="1DDAA0B2" w14:textId="77777777" w:rsidR="00CC16EE" w:rsidRDefault="00CC16EE"/>
    <w:p w14:paraId="41D228E0" w14:textId="01815789" w:rsidR="00661672" w:rsidRDefault="00661672">
      <w:pPr>
        <w:sectPr w:rsidR="00661672" w:rsidSect="00DE2024">
          <w:headerReference w:type="default" r:id="rId11"/>
          <w:footerReference w:type="default" r:id="rId12"/>
          <w:pgSz w:w="12240" w:h="15840"/>
          <w:pgMar w:top="1440" w:right="1440" w:bottom="1440" w:left="1440" w:header="720" w:footer="720" w:gutter="0"/>
          <w:cols w:space="720"/>
        </w:sectPr>
      </w:pPr>
    </w:p>
    <w:p w14:paraId="40298346" w14:textId="23281403" w:rsidR="00CC16EE" w:rsidRDefault="00CC16EE"/>
    <w:p w14:paraId="1CB19256" w14:textId="2EA2D214" w:rsidR="00557658" w:rsidRDefault="00557658" w:rsidP="7788FFCD">
      <w:pPr>
        <w:rPr>
          <w:b/>
          <w:bCs/>
        </w:rPr>
      </w:pPr>
      <w:r w:rsidRPr="7788FFCD">
        <w:rPr>
          <w:b/>
          <w:bCs/>
        </w:rPr>
        <w:t>Annex 1: State Level SMEBs</w:t>
      </w:r>
    </w:p>
    <w:tbl>
      <w:tblPr>
        <w:tblW w:w="12865" w:type="dxa"/>
        <w:tblLook w:val="04A0" w:firstRow="1" w:lastRow="0" w:firstColumn="1" w:lastColumn="0" w:noHBand="0" w:noVBand="1"/>
      </w:tblPr>
      <w:tblGrid>
        <w:gridCol w:w="1615"/>
        <w:gridCol w:w="1620"/>
        <w:gridCol w:w="1530"/>
        <w:gridCol w:w="1710"/>
        <w:gridCol w:w="1350"/>
        <w:gridCol w:w="1620"/>
        <w:gridCol w:w="1710"/>
        <w:gridCol w:w="1710"/>
      </w:tblGrid>
      <w:tr w:rsidR="008E75EF" w:rsidRPr="0024134B" w14:paraId="3641B41A" w14:textId="77777777" w:rsidTr="008E75EF">
        <w:trPr>
          <w:trHeight w:val="2520"/>
        </w:trPr>
        <w:tc>
          <w:tcPr>
            <w:tcW w:w="1615" w:type="dxa"/>
            <w:tcBorders>
              <w:top w:val="single" w:sz="4" w:space="0" w:color="auto"/>
              <w:left w:val="single" w:sz="4" w:space="0" w:color="auto"/>
              <w:bottom w:val="single" w:sz="4" w:space="0" w:color="auto"/>
              <w:right w:val="single" w:sz="4" w:space="0" w:color="auto"/>
            </w:tcBorders>
            <w:shd w:val="clear" w:color="5B95F9" w:fill="8CB5F9"/>
            <w:vAlign w:val="center"/>
            <w:hideMark/>
          </w:tcPr>
          <w:p w14:paraId="14342CB5" w14:textId="77777777" w:rsidR="0024134B" w:rsidRPr="0024134B" w:rsidRDefault="0024134B" w:rsidP="0024134B">
            <w:pPr>
              <w:spacing w:line="240" w:lineRule="auto"/>
              <w:jc w:val="center"/>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State</w:t>
            </w:r>
          </w:p>
        </w:tc>
        <w:tc>
          <w:tcPr>
            <w:tcW w:w="1620" w:type="dxa"/>
            <w:tcBorders>
              <w:top w:val="single" w:sz="4" w:space="0" w:color="auto"/>
              <w:left w:val="single" w:sz="4" w:space="0" w:color="auto"/>
              <w:bottom w:val="single" w:sz="4" w:space="0" w:color="auto"/>
              <w:right w:val="single" w:sz="4" w:space="0" w:color="auto"/>
            </w:tcBorders>
            <w:shd w:val="clear" w:color="5B95F9" w:fill="8CB5F9"/>
            <w:vAlign w:val="center"/>
            <w:hideMark/>
          </w:tcPr>
          <w:p w14:paraId="30A3E5C9" w14:textId="77777777" w:rsidR="0024134B" w:rsidRPr="0024134B" w:rsidRDefault="0024134B" w:rsidP="0024134B">
            <w:pPr>
              <w:spacing w:line="240" w:lineRule="auto"/>
              <w:jc w:val="center"/>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Cost of Individual full food ration (May 2023) 65% of SMEB</w:t>
            </w:r>
          </w:p>
        </w:tc>
        <w:tc>
          <w:tcPr>
            <w:tcW w:w="1530" w:type="dxa"/>
            <w:tcBorders>
              <w:top w:val="single" w:sz="4" w:space="0" w:color="auto"/>
              <w:left w:val="single" w:sz="4" w:space="0" w:color="auto"/>
              <w:bottom w:val="single" w:sz="4" w:space="0" w:color="auto"/>
              <w:right w:val="single" w:sz="4" w:space="0" w:color="auto"/>
            </w:tcBorders>
            <w:shd w:val="clear" w:color="5B95F9" w:fill="8CB5F9"/>
            <w:vAlign w:val="center"/>
            <w:hideMark/>
          </w:tcPr>
          <w:p w14:paraId="1AB3152E" w14:textId="77777777" w:rsidR="0024134B" w:rsidRPr="0024134B" w:rsidRDefault="0024134B" w:rsidP="0024134B">
            <w:pPr>
              <w:spacing w:line="240" w:lineRule="auto"/>
              <w:jc w:val="center"/>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 xml:space="preserve">Shelter (recurring not shelter </w:t>
            </w:r>
            <w:proofErr w:type="spellStart"/>
            <w:r w:rsidRPr="0024134B">
              <w:rPr>
                <w:rFonts w:eastAsia="Times New Roman"/>
                <w:b/>
                <w:bCs/>
                <w:color w:val="000000"/>
                <w:sz w:val="20"/>
                <w:szCs w:val="20"/>
                <w:lang w:val="en-US" w:eastAsia="en-US" w:bidi="th-TH"/>
              </w:rPr>
              <w:t>buidling</w:t>
            </w:r>
            <w:proofErr w:type="spellEnd"/>
            <w:r w:rsidRPr="0024134B">
              <w:rPr>
                <w:rFonts w:eastAsia="Times New Roman"/>
                <w:b/>
                <w:bCs/>
                <w:color w:val="000000"/>
                <w:sz w:val="20"/>
                <w:szCs w:val="20"/>
                <w:lang w:val="en-US" w:eastAsia="en-US" w:bidi="th-TH"/>
              </w:rPr>
              <w:t xml:space="preserve"> materials) </w:t>
            </w:r>
            <w:r w:rsidRPr="0024134B">
              <w:rPr>
                <w:rFonts w:eastAsia="Times New Roman"/>
                <w:b/>
                <w:bCs/>
                <w:color w:val="000000"/>
                <w:sz w:val="20"/>
                <w:szCs w:val="20"/>
                <w:lang w:val="en-US" w:eastAsia="en-US" w:bidi="th-TH"/>
              </w:rPr>
              <w:br/>
              <w:t>10% of SMEB</w:t>
            </w:r>
          </w:p>
        </w:tc>
        <w:tc>
          <w:tcPr>
            <w:tcW w:w="1710" w:type="dxa"/>
            <w:tcBorders>
              <w:top w:val="single" w:sz="4" w:space="0" w:color="auto"/>
              <w:left w:val="single" w:sz="4" w:space="0" w:color="auto"/>
              <w:bottom w:val="single" w:sz="4" w:space="0" w:color="auto"/>
              <w:right w:val="single" w:sz="4" w:space="0" w:color="auto"/>
            </w:tcBorders>
            <w:shd w:val="clear" w:color="5B95F9" w:fill="8CB5F9"/>
            <w:vAlign w:val="center"/>
            <w:hideMark/>
          </w:tcPr>
          <w:p w14:paraId="63405249" w14:textId="77777777" w:rsidR="0024134B" w:rsidRPr="0024134B" w:rsidRDefault="0024134B" w:rsidP="0024134B">
            <w:pPr>
              <w:spacing w:line="240" w:lineRule="auto"/>
              <w:jc w:val="center"/>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Non-Food Items including WASH (health not included)</w:t>
            </w:r>
            <w:r w:rsidRPr="0024134B">
              <w:rPr>
                <w:rFonts w:eastAsia="Times New Roman"/>
                <w:b/>
                <w:bCs/>
                <w:color w:val="000000"/>
                <w:sz w:val="20"/>
                <w:szCs w:val="20"/>
                <w:lang w:val="en-US" w:eastAsia="en-US" w:bidi="th-TH"/>
              </w:rPr>
              <w:br/>
              <w:t>21% of SEMB</w:t>
            </w:r>
          </w:p>
        </w:tc>
        <w:tc>
          <w:tcPr>
            <w:tcW w:w="1350" w:type="dxa"/>
            <w:tcBorders>
              <w:top w:val="single" w:sz="4" w:space="0" w:color="auto"/>
              <w:left w:val="single" w:sz="4" w:space="0" w:color="auto"/>
              <w:bottom w:val="single" w:sz="4" w:space="0" w:color="auto"/>
              <w:right w:val="single" w:sz="4" w:space="0" w:color="auto"/>
            </w:tcBorders>
            <w:shd w:val="clear" w:color="5B95F9" w:fill="8CB5F9"/>
            <w:vAlign w:val="center"/>
            <w:hideMark/>
          </w:tcPr>
          <w:p w14:paraId="35A1ACC9" w14:textId="77777777" w:rsidR="0024134B" w:rsidRPr="0024134B" w:rsidRDefault="0024134B" w:rsidP="0024134B">
            <w:pPr>
              <w:spacing w:line="240" w:lineRule="auto"/>
              <w:jc w:val="center"/>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Other</w:t>
            </w:r>
            <w:r w:rsidRPr="0024134B">
              <w:rPr>
                <w:rFonts w:eastAsia="Times New Roman"/>
                <w:b/>
                <w:bCs/>
                <w:color w:val="000000"/>
                <w:sz w:val="20"/>
                <w:szCs w:val="20"/>
                <w:lang w:val="en-US" w:eastAsia="en-US" w:bidi="th-TH"/>
              </w:rPr>
              <w:br/>
              <w:t>4% of SMEB</w:t>
            </w:r>
          </w:p>
        </w:tc>
        <w:tc>
          <w:tcPr>
            <w:tcW w:w="1620" w:type="dxa"/>
            <w:tcBorders>
              <w:top w:val="single" w:sz="4" w:space="0" w:color="auto"/>
              <w:left w:val="single" w:sz="4" w:space="0" w:color="auto"/>
              <w:bottom w:val="single" w:sz="4" w:space="0" w:color="auto"/>
              <w:right w:val="single" w:sz="4" w:space="0" w:color="auto"/>
            </w:tcBorders>
            <w:shd w:val="clear" w:color="5B95F9" w:fill="8CB5F9"/>
            <w:vAlign w:val="center"/>
            <w:hideMark/>
          </w:tcPr>
          <w:p w14:paraId="166E74F0" w14:textId="77777777" w:rsidR="0024134B" w:rsidRPr="0024134B" w:rsidRDefault="0024134B" w:rsidP="0024134B">
            <w:pPr>
              <w:spacing w:line="240" w:lineRule="auto"/>
              <w:jc w:val="center"/>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Total Cost of SMEB per individual</w:t>
            </w:r>
          </w:p>
        </w:tc>
        <w:tc>
          <w:tcPr>
            <w:tcW w:w="1710" w:type="dxa"/>
            <w:tcBorders>
              <w:top w:val="single" w:sz="4" w:space="0" w:color="auto"/>
              <w:left w:val="single" w:sz="4" w:space="0" w:color="auto"/>
              <w:bottom w:val="single" w:sz="4" w:space="0" w:color="auto"/>
              <w:right w:val="nil"/>
            </w:tcBorders>
            <w:shd w:val="clear" w:color="5B95F9" w:fill="8CB5F9"/>
            <w:vAlign w:val="center"/>
            <w:hideMark/>
          </w:tcPr>
          <w:p w14:paraId="2688CD77" w14:textId="77777777" w:rsidR="0024134B" w:rsidRPr="0024134B" w:rsidRDefault="0024134B" w:rsidP="0024134B">
            <w:pPr>
              <w:spacing w:line="240" w:lineRule="auto"/>
              <w:jc w:val="center"/>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Cost of SMEB for a household of 5</w:t>
            </w:r>
          </w:p>
        </w:tc>
        <w:tc>
          <w:tcPr>
            <w:tcW w:w="1710" w:type="dxa"/>
            <w:tcBorders>
              <w:top w:val="single" w:sz="4" w:space="0" w:color="auto"/>
              <w:left w:val="single" w:sz="4" w:space="0" w:color="auto"/>
              <w:bottom w:val="single" w:sz="4" w:space="0" w:color="auto"/>
              <w:right w:val="single" w:sz="4" w:space="0" w:color="auto"/>
            </w:tcBorders>
            <w:shd w:val="clear" w:color="5B95F9" w:fill="8CB5F9"/>
            <w:vAlign w:val="center"/>
            <w:hideMark/>
          </w:tcPr>
          <w:p w14:paraId="693F237F" w14:textId="77777777" w:rsidR="0024134B" w:rsidRPr="0024134B" w:rsidRDefault="0024134B" w:rsidP="0024134B">
            <w:pPr>
              <w:spacing w:line="240" w:lineRule="auto"/>
              <w:jc w:val="center"/>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Cost of SMEB for a household of 5 Rounded to nearest 5,000 MMK</w:t>
            </w:r>
          </w:p>
        </w:tc>
      </w:tr>
      <w:tr w:rsidR="008E75EF" w:rsidRPr="0024134B" w14:paraId="4C07B1D9"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A711AE" w14:textId="77777777" w:rsidR="0024134B" w:rsidRPr="0024134B" w:rsidRDefault="0024134B" w:rsidP="0024134B">
            <w:pPr>
              <w:spacing w:line="240" w:lineRule="auto"/>
              <w:rPr>
                <w:rFonts w:eastAsia="Times New Roman"/>
                <w:color w:val="000000"/>
                <w:sz w:val="20"/>
                <w:szCs w:val="20"/>
                <w:lang w:val="en-US" w:eastAsia="en-US" w:bidi="th-TH"/>
              </w:rPr>
            </w:pPr>
            <w:r w:rsidRPr="0024134B">
              <w:rPr>
                <w:rFonts w:eastAsia="Times New Roman"/>
                <w:color w:val="000000"/>
                <w:sz w:val="20"/>
                <w:szCs w:val="20"/>
                <w:lang w:val="en-US" w:eastAsia="en-US" w:bidi="th-TH"/>
              </w:rPr>
              <w:t>Chin</w:t>
            </w:r>
          </w:p>
        </w:tc>
        <w:tc>
          <w:tcPr>
            <w:tcW w:w="162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5DF795"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35,887 K</w:t>
            </w:r>
          </w:p>
        </w:tc>
        <w:tc>
          <w:tcPr>
            <w:tcW w:w="153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CEFF1E3"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5,521 K</w:t>
            </w:r>
          </w:p>
        </w:tc>
        <w:tc>
          <w:tcPr>
            <w:tcW w:w="171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C1F5460"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11,594 K</w:t>
            </w:r>
          </w:p>
        </w:tc>
        <w:tc>
          <w:tcPr>
            <w:tcW w:w="135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8F4C896"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2,208 K</w:t>
            </w:r>
          </w:p>
        </w:tc>
        <w:tc>
          <w:tcPr>
            <w:tcW w:w="162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1BFD094"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55,211 K</w:t>
            </w:r>
          </w:p>
        </w:tc>
        <w:tc>
          <w:tcPr>
            <w:tcW w:w="1710" w:type="dxa"/>
            <w:tcBorders>
              <w:top w:val="single" w:sz="4" w:space="0" w:color="auto"/>
              <w:left w:val="single" w:sz="4" w:space="0" w:color="auto"/>
              <w:bottom w:val="single" w:sz="4" w:space="0" w:color="auto"/>
              <w:right w:val="nil"/>
            </w:tcBorders>
            <w:shd w:val="clear" w:color="FFFFFF" w:fill="FFFFFF"/>
            <w:vAlign w:val="bottom"/>
            <w:hideMark/>
          </w:tcPr>
          <w:p w14:paraId="36B16614"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276,055 K</w:t>
            </w:r>
          </w:p>
        </w:tc>
        <w:tc>
          <w:tcPr>
            <w:tcW w:w="1710" w:type="dxa"/>
            <w:tcBorders>
              <w:top w:val="nil"/>
              <w:left w:val="single" w:sz="4" w:space="0" w:color="auto"/>
              <w:bottom w:val="single" w:sz="4" w:space="0" w:color="auto"/>
              <w:right w:val="single" w:sz="4" w:space="0" w:color="auto"/>
            </w:tcBorders>
            <w:shd w:val="clear" w:color="FFFFFF" w:fill="FFFFFF"/>
            <w:vAlign w:val="bottom"/>
            <w:hideMark/>
          </w:tcPr>
          <w:p w14:paraId="4EA5DC77"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275,000 K</w:t>
            </w:r>
          </w:p>
        </w:tc>
      </w:tr>
      <w:tr w:rsidR="008E75EF" w:rsidRPr="0024134B" w14:paraId="60308D10"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5E3EABE5" w14:textId="77777777" w:rsidR="0024134B" w:rsidRPr="0024134B" w:rsidRDefault="0024134B" w:rsidP="0024134B">
            <w:pPr>
              <w:spacing w:line="240" w:lineRule="auto"/>
              <w:rPr>
                <w:rFonts w:eastAsia="Times New Roman"/>
                <w:color w:val="000000"/>
                <w:sz w:val="20"/>
                <w:szCs w:val="20"/>
                <w:lang w:val="en-US" w:eastAsia="en-US" w:bidi="th-TH"/>
              </w:rPr>
            </w:pPr>
            <w:r w:rsidRPr="0024134B">
              <w:rPr>
                <w:rFonts w:eastAsia="Times New Roman"/>
                <w:color w:val="000000"/>
                <w:sz w:val="20"/>
                <w:szCs w:val="20"/>
                <w:lang w:val="en-US" w:eastAsia="en-US" w:bidi="th-TH"/>
              </w:rPr>
              <w:t>Kachin</w:t>
            </w:r>
          </w:p>
        </w:tc>
        <w:tc>
          <w:tcPr>
            <w:tcW w:w="1620"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255556C5"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32,994 K</w:t>
            </w:r>
          </w:p>
        </w:tc>
        <w:tc>
          <w:tcPr>
            <w:tcW w:w="153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55EE9097"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5,076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3C2DE692"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10,660 K</w:t>
            </w:r>
          </w:p>
        </w:tc>
        <w:tc>
          <w:tcPr>
            <w:tcW w:w="135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47F3303A"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2,030 K</w:t>
            </w:r>
          </w:p>
        </w:tc>
        <w:tc>
          <w:tcPr>
            <w:tcW w:w="162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578DFBF5"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50,760 K</w:t>
            </w:r>
          </w:p>
        </w:tc>
        <w:tc>
          <w:tcPr>
            <w:tcW w:w="1710" w:type="dxa"/>
            <w:tcBorders>
              <w:top w:val="single" w:sz="4" w:space="0" w:color="auto"/>
              <w:left w:val="single" w:sz="4" w:space="0" w:color="auto"/>
              <w:bottom w:val="single" w:sz="4" w:space="0" w:color="auto"/>
              <w:right w:val="nil"/>
            </w:tcBorders>
            <w:shd w:val="clear" w:color="E8F0FE" w:fill="E8F0FE"/>
            <w:vAlign w:val="bottom"/>
            <w:hideMark/>
          </w:tcPr>
          <w:p w14:paraId="7D07CC81"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253,802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2F3D5D49"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255,000 K</w:t>
            </w:r>
          </w:p>
        </w:tc>
      </w:tr>
      <w:tr w:rsidR="008E75EF" w:rsidRPr="0024134B" w14:paraId="0F29D0AB"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A08CF5" w14:textId="77777777" w:rsidR="0024134B" w:rsidRPr="0024134B" w:rsidRDefault="0024134B" w:rsidP="0024134B">
            <w:pPr>
              <w:spacing w:line="240" w:lineRule="auto"/>
              <w:rPr>
                <w:rFonts w:eastAsia="Times New Roman"/>
                <w:color w:val="000000"/>
                <w:sz w:val="20"/>
                <w:szCs w:val="20"/>
                <w:lang w:val="en-US" w:eastAsia="en-US" w:bidi="th-TH"/>
              </w:rPr>
            </w:pPr>
            <w:proofErr w:type="spellStart"/>
            <w:r w:rsidRPr="0024134B">
              <w:rPr>
                <w:rFonts w:eastAsia="Times New Roman"/>
                <w:color w:val="000000"/>
                <w:sz w:val="20"/>
                <w:szCs w:val="20"/>
                <w:lang w:val="en-US" w:eastAsia="en-US" w:bidi="th-TH"/>
              </w:rPr>
              <w:t>Kayah</w:t>
            </w:r>
            <w:proofErr w:type="spellEnd"/>
          </w:p>
        </w:tc>
        <w:tc>
          <w:tcPr>
            <w:tcW w:w="162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4C6D4B"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29,395 K</w:t>
            </w:r>
          </w:p>
        </w:tc>
        <w:tc>
          <w:tcPr>
            <w:tcW w:w="153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A09AB5D"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4,522 K</w:t>
            </w:r>
          </w:p>
        </w:tc>
        <w:tc>
          <w:tcPr>
            <w:tcW w:w="171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FFFF5D0"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9,497 K</w:t>
            </w:r>
          </w:p>
        </w:tc>
        <w:tc>
          <w:tcPr>
            <w:tcW w:w="135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985FD09"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1,809 K</w:t>
            </w:r>
          </w:p>
        </w:tc>
        <w:tc>
          <w:tcPr>
            <w:tcW w:w="162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4491F42"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45,223 K</w:t>
            </w:r>
          </w:p>
        </w:tc>
        <w:tc>
          <w:tcPr>
            <w:tcW w:w="1710" w:type="dxa"/>
            <w:tcBorders>
              <w:top w:val="single" w:sz="4" w:space="0" w:color="auto"/>
              <w:left w:val="single" w:sz="4" w:space="0" w:color="auto"/>
              <w:bottom w:val="single" w:sz="4" w:space="0" w:color="auto"/>
              <w:right w:val="nil"/>
            </w:tcBorders>
            <w:shd w:val="clear" w:color="FFFFFF" w:fill="FFFFFF"/>
            <w:vAlign w:val="bottom"/>
            <w:hideMark/>
          </w:tcPr>
          <w:p w14:paraId="0440EA6A"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226,117 K</w:t>
            </w:r>
          </w:p>
        </w:tc>
        <w:tc>
          <w:tcPr>
            <w:tcW w:w="171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96DAA44"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225,000 K</w:t>
            </w:r>
          </w:p>
        </w:tc>
      </w:tr>
      <w:tr w:rsidR="008E75EF" w:rsidRPr="0024134B" w14:paraId="406BAAB2"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5236DB0E" w14:textId="77777777" w:rsidR="0024134B" w:rsidRPr="0024134B" w:rsidRDefault="0024134B" w:rsidP="0024134B">
            <w:pPr>
              <w:spacing w:line="240" w:lineRule="auto"/>
              <w:rPr>
                <w:rFonts w:eastAsia="Times New Roman"/>
                <w:color w:val="000000"/>
                <w:sz w:val="20"/>
                <w:szCs w:val="20"/>
                <w:lang w:val="en-US" w:eastAsia="en-US" w:bidi="th-TH"/>
              </w:rPr>
            </w:pPr>
            <w:r w:rsidRPr="0024134B">
              <w:rPr>
                <w:rFonts w:eastAsia="Times New Roman"/>
                <w:color w:val="000000"/>
                <w:sz w:val="20"/>
                <w:szCs w:val="20"/>
                <w:lang w:val="en-US" w:eastAsia="en-US" w:bidi="th-TH"/>
              </w:rPr>
              <w:t>Kayin</w:t>
            </w:r>
          </w:p>
        </w:tc>
        <w:tc>
          <w:tcPr>
            <w:tcW w:w="1620"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1D7E8500"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29,927 K</w:t>
            </w:r>
          </w:p>
        </w:tc>
        <w:tc>
          <w:tcPr>
            <w:tcW w:w="153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19C10D78"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4,604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1E2E7E7A"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9,669 K</w:t>
            </w:r>
          </w:p>
        </w:tc>
        <w:tc>
          <w:tcPr>
            <w:tcW w:w="135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78B6C58A"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1,842 K</w:t>
            </w:r>
          </w:p>
        </w:tc>
        <w:tc>
          <w:tcPr>
            <w:tcW w:w="162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16C53A51"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46,042 K</w:t>
            </w:r>
          </w:p>
        </w:tc>
        <w:tc>
          <w:tcPr>
            <w:tcW w:w="1710" w:type="dxa"/>
            <w:tcBorders>
              <w:top w:val="single" w:sz="4" w:space="0" w:color="auto"/>
              <w:left w:val="single" w:sz="4" w:space="0" w:color="auto"/>
              <w:bottom w:val="single" w:sz="4" w:space="0" w:color="auto"/>
              <w:right w:val="nil"/>
            </w:tcBorders>
            <w:shd w:val="clear" w:color="E8F0FE" w:fill="E8F0FE"/>
            <w:vAlign w:val="bottom"/>
            <w:hideMark/>
          </w:tcPr>
          <w:p w14:paraId="275B0095"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230,209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69320EB8"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230,000 K</w:t>
            </w:r>
          </w:p>
        </w:tc>
      </w:tr>
      <w:tr w:rsidR="008E75EF" w:rsidRPr="0024134B" w14:paraId="578B5226"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80402F" w14:textId="77777777" w:rsidR="0024134B" w:rsidRPr="0024134B" w:rsidRDefault="0024134B" w:rsidP="0024134B">
            <w:pPr>
              <w:spacing w:line="240" w:lineRule="auto"/>
              <w:rPr>
                <w:rFonts w:eastAsia="Times New Roman"/>
                <w:color w:val="000000"/>
                <w:sz w:val="20"/>
                <w:szCs w:val="20"/>
                <w:lang w:val="en-US" w:eastAsia="en-US" w:bidi="th-TH"/>
              </w:rPr>
            </w:pPr>
            <w:r w:rsidRPr="0024134B">
              <w:rPr>
                <w:rFonts w:eastAsia="Times New Roman"/>
                <w:color w:val="000000"/>
                <w:sz w:val="20"/>
                <w:szCs w:val="20"/>
                <w:lang w:val="en-US" w:eastAsia="en-US" w:bidi="th-TH"/>
              </w:rPr>
              <w:t>Magway</w:t>
            </w:r>
          </w:p>
        </w:tc>
        <w:tc>
          <w:tcPr>
            <w:tcW w:w="162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C2B3CE4"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29,023 K</w:t>
            </w:r>
          </w:p>
        </w:tc>
        <w:tc>
          <w:tcPr>
            <w:tcW w:w="153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1CBCD5E"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4,465 K</w:t>
            </w:r>
          </w:p>
        </w:tc>
        <w:tc>
          <w:tcPr>
            <w:tcW w:w="171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292877B"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9,377 K</w:t>
            </w:r>
          </w:p>
        </w:tc>
        <w:tc>
          <w:tcPr>
            <w:tcW w:w="135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A646EF3"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1,786 K</w:t>
            </w:r>
          </w:p>
        </w:tc>
        <w:tc>
          <w:tcPr>
            <w:tcW w:w="162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A011E04"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44,651 K</w:t>
            </w:r>
          </w:p>
        </w:tc>
        <w:tc>
          <w:tcPr>
            <w:tcW w:w="1710" w:type="dxa"/>
            <w:tcBorders>
              <w:top w:val="single" w:sz="4" w:space="0" w:color="auto"/>
              <w:left w:val="single" w:sz="4" w:space="0" w:color="auto"/>
              <w:bottom w:val="single" w:sz="4" w:space="0" w:color="auto"/>
              <w:right w:val="nil"/>
            </w:tcBorders>
            <w:shd w:val="clear" w:color="FFFFFF" w:fill="FFFFFF"/>
            <w:vAlign w:val="bottom"/>
            <w:hideMark/>
          </w:tcPr>
          <w:p w14:paraId="47E97311"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223,253 K</w:t>
            </w:r>
          </w:p>
        </w:tc>
        <w:tc>
          <w:tcPr>
            <w:tcW w:w="171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1F0376E"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225,000 K</w:t>
            </w:r>
          </w:p>
        </w:tc>
      </w:tr>
      <w:tr w:rsidR="008E75EF" w:rsidRPr="0024134B" w14:paraId="6221E154"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16DB57D2" w14:textId="77777777" w:rsidR="0024134B" w:rsidRPr="0024134B" w:rsidRDefault="0024134B" w:rsidP="0024134B">
            <w:pPr>
              <w:spacing w:line="240" w:lineRule="auto"/>
              <w:rPr>
                <w:rFonts w:eastAsia="Times New Roman"/>
                <w:color w:val="000000"/>
                <w:sz w:val="20"/>
                <w:szCs w:val="20"/>
                <w:lang w:val="en-US" w:eastAsia="en-US" w:bidi="th-TH"/>
              </w:rPr>
            </w:pPr>
            <w:r w:rsidRPr="0024134B">
              <w:rPr>
                <w:rFonts w:eastAsia="Times New Roman"/>
                <w:color w:val="000000"/>
                <w:sz w:val="20"/>
                <w:szCs w:val="20"/>
                <w:lang w:val="en-US" w:eastAsia="en-US" w:bidi="th-TH"/>
              </w:rPr>
              <w:t>Mandalay</w:t>
            </w:r>
          </w:p>
        </w:tc>
        <w:tc>
          <w:tcPr>
            <w:tcW w:w="1620"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77C4C8DC"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30,997 K</w:t>
            </w:r>
          </w:p>
        </w:tc>
        <w:tc>
          <w:tcPr>
            <w:tcW w:w="153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535A9B41"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4,769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5602E5B4"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10,014 K</w:t>
            </w:r>
          </w:p>
        </w:tc>
        <w:tc>
          <w:tcPr>
            <w:tcW w:w="135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4833031B"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1,908 K</w:t>
            </w:r>
          </w:p>
        </w:tc>
        <w:tc>
          <w:tcPr>
            <w:tcW w:w="162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680AFF0B"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47,688 K</w:t>
            </w:r>
          </w:p>
        </w:tc>
        <w:tc>
          <w:tcPr>
            <w:tcW w:w="1710" w:type="dxa"/>
            <w:tcBorders>
              <w:top w:val="single" w:sz="4" w:space="0" w:color="auto"/>
              <w:left w:val="single" w:sz="4" w:space="0" w:color="auto"/>
              <w:bottom w:val="single" w:sz="4" w:space="0" w:color="auto"/>
              <w:right w:val="nil"/>
            </w:tcBorders>
            <w:shd w:val="clear" w:color="E8F0FE" w:fill="E8F0FE"/>
            <w:vAlign w:val="bottom"/>
            <w:hideMark/>
          </w:tcPr>
          <w:p w14:paraId="08E739D7"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238,439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29A2B5B6"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240,000 K</w:t>
            </w:r>
          </w:p>
        </w:tc>
      </w:tr>
      <w:tr w:rsidR="008E75EF" w:rsidRPr="0024134B" w14:paraId="58CCA2AE"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8CE4807" w14:textId="77777777" w:rsidR="0024134B" w:rsidRPr="0024134B" w:rsidRDefault="0024134B" w:rsidP="0024134B">
            <w:pPr>
              <w:spacing w:line="240" w:lineRule="auto"/>
              <w:rPr>
                <w:rFonts w:eastAsia="Times New Roman"/>
                <w:color w:val="000000"/>
                <w:sz w:val="20"/>
                <w:szCs w:val="20"/>
                <w:lang w:val="en-US" w:eastAsia="en-US" w:bidi="th-TH"/>
              </w:rPr>
            </w:pPr>
            <w:r w:rsidRPr="0024134B">
              <w:rPr>
                <w:rFonts w:eastAsia="Times New Roman"/>
                <w:color w:val="000000"/>
                <w:sz w:val="20"/>
                <w:szCs w:val="20"/>
                <w:lang w:val="en-US" w:eastAsia="en-US" w:bidi="th-TH"/>
              </w:rPr>
              <w:t>Mon</w:t>
            </w:r>
          </w:p>
        </w:tc>
        <w:tc>
          <w:tcPr>
            <w:tcW w:w="162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AE1FB1"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29,908 K</w:t>
            </w:r>
          </w:p>
        </w:tc>
        <w:tc>
          <w:tcPr>
            <w:tcW w:w="153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F029967"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4,601 K</w:t>
            </w:r>
          </w:p>
        </w:tc>
        <w:tc>
          <w:tcPr>
            <w:tcW w:w="171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1C3BE91"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9,663 K</w:t>
            </w:r>
          </w:p>
        </w:tc>
        <w:tc>
          <w:tcPr>
            <w:tcW w:w="135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D72725B"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1,840 K</w:t>
            </w:r>
          </w:p>
        </w:tc>
        <w:tc>
          <w:tcPr>
            <w:tcW w:w="162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A99D0F1"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46,012 K</w:t>
            </w:r>
          </w:p>
        </w:tc>
        <w:tc>
          <w:tcPr>
            <w:tcW w:w="1710" w:type="dxa"/>
            <w:tcBorders>
              <w:top w:val="single" w:sz="4" w:space="0" w:color="auto"/>
              <w:left w:val="single" w:sz="4" w:space="0" w:color="auto"/>
              <w:bottom w:val="single" w:sz="4" w:space="0" w:color="auto"/>
              <w:right w:val="nil"/>
            </w:tcBorders>
            <w:shd w:val="clear" w:color="FFFFFF" w:fill="FFFFFF"/>
            <w:vAlign w:val="bottom"/>
            <w:hideMark/>
          </w:tcPr>
          <w:p w14:paraId="09F19D1F"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230,062 K</w:t>
            </w:r>
          </w:p>
        </w:tc>
        <w:tc>
          <w:tcPr>
            <w:tcW w:w="171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5257380"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230,000 K</w:t>
            </w:r>
          </w:p>
        </w:tc>
      </w:tr>
      <w:tr w:rsidR="008E75EF" w:rsidRPr="0024134B" w14:paraId="60C698B3" w14:textId="77777777" w:rsidTr="008E75EF">
        <w:trPr>
          <w:trHeight w:val="280"/>
        </w:trPr>
        <w:tc>
          <w:tcPr>
            <w:tcW w:w="1615"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3D89DB5B" w14:textId="77777777" w:rsidR="0024134B" w:rsidRPr="0024134B" w:rsidRDefault="0024134B" w:rsidP="0024134B">
            <w:pPr>
              <w:spacing w:line="240" w:lineRule="auto"/>
              <w:rPr>
                <w:rFonts w:eastAsia="Times New Roman"/>
                <w:color w:val="000000"/>
                <w:sz w:val="20"/>
                <w:szCs w:val="20"/>
                <w:lang w:val="en-US" w:eastAsia="en-US" w:bidi="th-TH"/>
              </w:rPr>
            </w:pPr>
            <w:r w:rsidRPr="0024134B">
              <w:rPr>
                <w:rFonts w:eastAsia="Times New Roman"/>
                <w:color w:val="000000"/>
                <w:sz w:val="20"/>
                <w:szCs w:val="20"/>
                <w:lang w:val="en-US" w:eastAsia="en-US" w:bidi="th-TH"/>
              </w:rPr>
              <w:t>Rakhine</w:t>
            </w:r>
          </w:p>
        </w:tc>
        <w:tc>
          <w:tcPr>
            <w:tcW w:w="162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6CB10C58"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30,509 K</w:t>
            </w:r>
          </w:p>
        </w:tc>
        <w:tc>
          <w:tcPr>
            <w:tcW w:w="153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5F338773"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4,694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56E02DCD"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9,857 K</w:t>
            </w:r>
          </w:p>
        </w:tc>
        <w:tc>
          <w:tcPr>
            <w:tcW w:w="135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714A084E"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1,878 K</w:t>
            </w:r>
          </w:p>
        </w:tc>
        <w:tc>
          <w:tcPr>
            <w:tcW w:w="162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402D9BB0"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46,938 K</w:t>
            </w:r>
          </w:p>
        </w:tc>
        <w:tc>
          <w:tcPr>
            <w:tcW w:w="1710" w:type="dxa"/>
            <w:tcBorders>
              <w:top w:val="single" w:sz="4" w:space="0" w:color="auto"/>
              <w:left w:val="single" w:sz="4" w:space="0" w:color="auto"/>
              <w:bottom w:val="single" w:sz="4" w:space="0" w:color="auto"/>
              <w:right w:val="nil"/>
            </w:tcBorders>
            <w:shd w:val="clear" w:color="E8F0FE" w:fill="E8F0FE"/>
            <w:vAlign w:val="bottom"/>
            <w:hideMark/>
          </w:tcPr>
          <w:p w14:paraId="30BA7273"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234,688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7BC57280"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235,000 K</w:t>
            </w:r>
          </w:p>
        </w:tc>
      </w:tr>
      <w:tr w:rsidR="008E75EF" w:rsidRPr="0024134B" w14:paraId="1CDAAA5E"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DD0323" w14:textId="77777777" w:rsidR="0024134B" w:rsidRPr="0024134B" w:rsidRDefault="0024134B" w:rsidP="0024134B">
            <w:pPr>
              <w:spacing w:line="240" w:lineRule="auto"/>
              <w:rPr>
                <w:rFonts w:eastAsia="Times New Roman"/>
                <w:color w:val="000000"/>
                <w:sz w:val="20"/>
                <w:szCs w:val="20"/>
                <w:lang w:val="en-US" w:eastAsia="en-US" w:bidi="th-TH"/>
              </w:rPr>
            </w:pPr>
            <w:proofErr w:type="spellStart"/>
            <w:r w:rsidRPr="0024134B">
              <w:rPr>
                <w:rFonts w:eastAsia="Times New Roman"/>
                <w:color w:val="000000"/>
                <w:sz w:val="20"/>
                <w:szCs w:val="20"/>
                <w:lang w:val="en-US" w:eastAsia="en-US" w:bidi="th-TH"/>
              </w:rPr>
              <w:t>Sagaing</w:t>
            </w:r>
            <w:proofErr w:type="spellEnd"/>
            <w:r w:rsidRPr="0024134B">
              <w:rPr>
                <w:rFonts w:eastAsia="Times New Roman"/>
                <w:color w:val="000000"/>
                <w:sz w:val="20"/>
                <w:szCs w:val="20"/>
                <w:lang w:val="en-US" w:eastAsia="en-US" w:bidi="th-TH"/>
              </w:rPr>
              <w:t xml:space="preserve"> North</w:t>
            </w:r>
          </w:p>
        </w:tc>
        <w:tc>
          <w:tcPr>
            <w:tcW w:w="162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CE3612"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39,180 K</w:t>
            </w:r>
          </w:p>
        </w:tc>
        <w:tc>
          <w:tcPr>
            <w:tcW w:w="153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BFD4102"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6,028 K</w:t>
            </w:r>
          </w:p>
        </w:tc>
        <w:tc>
          <w:tcPr>
            <w:tcW w:w="171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DB3B5DA"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12,658 K</w:t>
            </w:r>
          </w:p>
        </w:tc>
        <w:tc>
          <w:tcPr>
            <w:tcW w:w="135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2545B03"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2,411 K</w:t>
            </w:r>
          </w:p>
        </w:tc>
        <w:tc>
          <w:tcPr>
            <w:tcW w:w="162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93474BC"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60,277 K</w:t>
            </w:r>
          </w:p>
        </w:tc>
        <w:tc>
          <w:tcPr>
            <w:tcW w:w="1710" w:type="dxa"/>
            <w:tcBorders>
              <w:top w:val="single" w:sz="4" w:space="0" w:color="auto"/>
              <w:left w:val="single" w:sz="4" w:space="0" w:color="auto"/>
              <w:bottom w:val="single" w:sz="4" w:space="0" w:color="auto"/>
              <w:right w:val="nil"/>
            </w:tcBorders>
            <w:shd w:val="clear" w:color="FFFFFF" w:fill="FFFFFF"/>
            <w:vAlign w:val="bottom"/>
            <w:hideMark/>
          </w:tcPr>
          <w:p w14:paraId="3C6F0054"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301,385 K</w:t>
            </w:r>
          </w:p>
        </w:tc>
        <w:tc>
          <w:tcPr>
            <w:tcW w:w="171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96C5A8E"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300,000 K</w:t>
            </w:r>
          </w:p>
        </w:tc>
      </w:tr>
      <w:tr w:rsidR="008E75EF" w:rsidRPr="0024134B" w14:paraId="5C6D945F"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0BC69525" w14:textId="77777777" w:rsidR="0024134B" w:rsidRPr="0024134B" w:rsidRDefault="0024134B" w:rsidP="0024134B">
            <w:pPr>
              <w:spacing w:line="240" w:lineRule="auto"/>
              <w:rPr>
                <w:rFonts w:eastAsia="Times New Roman"/>
                <w:color w:val="000000"/>
                <w:sz w:val="20"/>
                <w:szCs w:val="20"/>
                <w:lang w:val="en-US" w:eastAsia="en-US" w:bidi="th-TH"/>
              </w:rPr>
            </w:pPr>
            <w:proofErr w:type="spellStart"/>
            <w:r w:rsidRPr="0024134B">
              <w:rPr>
                <w:rFonts w:eastAsia="Times New Roman"/>
                <w:color w:val="000000"/>
                <w:sz w:val="20"/>
                <w:szCs w:val="20"/>
                <w:lang w:val="en-US" w:eastAsia="en-US" w:bidi="th-TH"/>
              </w:rPr>
              <w:t>Sagaing</w:t>
            </w:r>
            <w:proofErr w:type="spellEnd"/>
            <w:r w:rsidRPr="0024134B">
              <w:rPr>
                <w:rFonts w:eastAsia="Times New Roman"/>
                <w:color w:val="000000"/>
                <w:sz w:val="20"/>
                <w:szCs w:val="20"/>
                <w:lang w:val="en-US" w:eastAsia="en-US" w:bidi="th-TH"/>
              </w:rPr>
              <w:t xml:space="preserve"> South/Central</w:t>
            </w:r>
          </w:p>
        </w:tc>
        <w:tc>
          <w:tcPr>
            <w:tcW w:w="1620"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5C545A5F"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36,595 K</w:t>
            </w:r>
          </w:p>
        </w:tc>
        <w:tc>
          <w:tcPr>
            <w:tcW w:w="153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2B1BD59D"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5,630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65DEBF79"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11,823 K</w:t>
            </w:r>
          </w:p>
        </w:tc>
        <w:tc>
          <w:tcPr>
            <w:tcW w:w="135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2D648430"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2,252 K</w:t>
            </w:r>
          </w:p>
        </w:tc>
        <w:tc>
          <w:tcPr>
            <w:tcW w:w="162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042FE940"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56,300 K</w:t>
            </w:r>
          </w:p>
        </w:tc>
        <w:tc>
          <w:tcPr>
            <w:tcW w:w="1710" w:type="dxa"/>
            <w:tcBorders>
              <w:top w:val="single" w:sz="4" w:space="0" w:color="auto"/>
              <w:left w:val="single" w:sz="4" w:space="0" w:color="auto"/>
              <w:bottom w:val="single" w:sz="4" w:space="0" w:color="auto"/>
              <w:right w:val="nil"/>
            </w:tcBorders>
            <w:shd w:val="clear" w:color="E8F0FE" w:fill="E8F0FE"/>
            <w:vAlign w:val="bottom"/>
            <w:hideMark/>
          </w:tcPr>
          <w:p w14:paraId="3D13FE7D"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281,501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4316CAC4"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280,000 K</w:t>
            </w:r>
          </w:p>
        </w:tc>
      </w:tr>
      <w:tr w:rsidR="008E75EF" w:rsidRPr="0024134B" w14:paraId="51007ABC"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2E1F22D" w14:textId="77777777" w:rsidR="0024134B" w:rsidRPr="0024134B" w:rsidRDefault="0024134B" w:rsidP="0024134B">
            <w:pPr>
              <w:spacing w:line="240" w:lineRule="auto"/>
              <w:rPr>
                <w:rFonts w:eastAsia="Times New Roman"/>
                <w:color w:val="000000"/>
                <w:sz w:val="20"/>
                <w:szCs w:val="20"/>
                <w:lang w:val="en-US" w:eastAsia="en-US" w:bidi="th-TH"/>
              </w:rPr>
            </w:pPr>
            <w:r w:rsidRPr="0024134B">
              <w:rPr>
                <w:rFonts w:eastAsia="Times New Roman"/>
                <w:color w:val="000000"/>
                <w:sz w:val="20"/>
                <w:szCs w:val="20"/>
                <w:lang w:val="en-US" w:eastAsia="en-US" w:bidi="th-TH"/>
              </w:rPr>
              <w:t>Shan (North)</w:t>
            </w:r>
          </w:p>
        </w:tc>
        <w:tc>
          <w:tcPr>
            <w:tcW w:w="162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14973D"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38,188 K</w:t>
            </w:r>
          </w:p>
        </w:tc>
        <w:tc>
          <w:tcPr>
            <w:tcW w:w="153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DFAF8C4"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5,875 K</w:t>
            </w:r>
          </w:p>
        </w:tc>
        <w:tc>
          <w:tcPr>
            <w:tcW w:w="171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0266FD6"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12,338 K</w:t>
            </w:r>
          </w:p>
        </w:tc>
        <w:tc>
          <w:tcPr>
            <w:tcW w:w="135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D9D4F83"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2,350 K</w:t>
            </w:r>
          </w:p>
        </w:tc>
        <w:tc>
          <w:tcPr>
            <w:tcW w:w="162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7004E93"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58,750 K</w:t>
            </w:r>
          </w:p>
        </w:tc>
        <w:tc>
          <w:tcPr>
            <w:tcW w:w="1710" w:type="dxa"/>
            <w:tcBorders>
              <w:top w:val="single" w:sz="4" w:space="0" w:color="auto"/>
              <w:left w:val="single" w:sz="4" w:space="0" w:color="auto"/>
              <w:bottom w:val="single" w:sz="4" w:space="0" w:color="auto"/>
              <w:right w:val="nil"/>
            </w:tcBorders>
            <w:shd w:val="clear" w:color="FFFFFF" w:fill="FFFFFF"/>
            <w:vAlign w:val="bottom"/>
            <w:hideMark/>
          </w:tcPr>
          <w:p w14:paraId="71D32C26"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293,752 K</w:t>
            </w:r>
          </w:p>
        </w:tc>
        <w:tc>
          <w:tcPr>
            <w:tcW w:w="171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D51AA56"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295,000 K</w:t>
            </w:r>
          </w:p>
        </w:tc>
      </w:tr>
      <w:tr w:rsidR="008E75EF" w:rsidRPr="0024134B" w14:paraId="59AB865B"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1A7161CE" w14:textId="77777777" w:rsidR="0024134B" w:rsidRPr="0024134B" w:rsidRDefault="0024134B" w:rsidP="0024134B">
            <w:pPr>
              <w:spacing w:line="240" w:lineRule="auto"/>
              <w:rPr>
                <w:rFonts w:eastAsia="Times New Roman"/>
                <w:color w:val="000000"/>
                <w:sz w:val="20"/>
                <w:szCs w:val="20"/>
                <w:lang w:val="en-US" w:eastAsia="en-US" w:bidi="th-TH"/>
              </w:rPr>
            </w:pPr>
            <w:r w:rsidRPr="0024134B">
              <w:rPr>
                <w:rFonts w:eastAsia="Times New Roman"/>
                <w:color w:val="000000"/>
                <w:sz w:val="20"/>
                <w:szCs w:val="20"/>
                <w:lang w:val="en-US" w:eastAsia="en-US" w:bidi="th-TH"/>
              </w:rPr>
              <w:t>Shan (South)</w:t>
            </w:r>
          </w:p>
        </w:tc>
        <w:tc>
          <w:tcPr>
            <w:tcW w:w="1620"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0AC1D7B5"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35,316 K</w:t>
            </w:r>
          </w:p>
        </w:tc>
        <w:tc>
          <w:tcPr>
            <w:tcW w:w="153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497CF340"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5,433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598CB670"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11,410 K</w:t>
            </w:r>
          </w:p>
        </w:tc>
        <w:tc>
          <w:tcPr>
            <w:tcW w:w="135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063FDEE0"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2,173 K</w:t>
            </w:r>
          </w:p>
        </w:tc>
        <w:tc>
          <w:tcPr>
            <w:tcW w:w="162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5B55F856"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54,332 K</w:t>
            </w:r>
          </w:p>
        </w:tc>
        <w:tc>
          <w:tcPr>
            <w:tcW w:w="1710" w:type="dxa"/>
            <w:tcBorders>
              <w:top w:val="single" w:sz="4" w:space="0" w:color="auto"/>
              <w:left w:val="single" w:sz="4" w:space="0" w:color="auto"/>
              <w:bottom w:val="single" w:sz="4" w:space="0" w:color="auto"/>
              <w:right w:val="nil"/>
            </w:tcBorders>
            <w:shd w:val="clear" w:color="E8F0FE" w:fill="E8F0FE"/>
            <w:vAlign w:val="bottom"/>
            <w:hideMark/>
          </w:tcPr>
          <w:p w14:paraId="0C24E798"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271,660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7ED5585B"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270,000 K</w:t>
            </w:r>
          </w:p>
        </w:tc>
      </w:tr>
      <w:tr w:rsidR="008E75EF" w:rsidRPr="0024134B" w14:paraId="52FA63F4" w14:textId="77777777" w:rsidTr="008E75EF">
        <w:trPr>
          <w:trHeight w:val="260"/>
        </w:trPr>
        <w:tc>
          <w:tcPr>
            <w:tcW w:w="1615" w:type="dxa"/>
            <w:tcBorders>
              <w:top w:val="single" w:sz="4" w:space="0" w:color="auto"/>
              <w:left w:val="single" w:sz="4" w:space="0" w:color="auto"/>
              <w:bottom w:val="nil"/>
              <w:right w:val="single" w:sz="4" w:space="0" w:color="auto"/>
            </w:tcBorders>
            <w:shd w:val="clear" w:color="FFFFFF" w:fill="FFFFFF"/>
            <w:noWrap/>
            <w:vAlign w:val="bottom"/>
            <w:hideMark/>
          </w:tcPr>
          <w:p w14:paraId="244E2F18" w14:textId="77777777" w:rsidR="0024134B" w:rsidRPr="0024134B" w:rsidRDefault="0024134B" w:rsidP="0024134B">
            <w:pPr>
              <w:spacing w:line="240" w:lineRule="auto"/>
              <w:rPr>
                <w:rFonts w:eastAsia="Times New Roman"/>
                <w:color w:val="000000"/>
                <w:sz w:val="20"/>
                <w:szCs w:val="20"/>
                <w:lang w:val="en-US" w:eastAsia="en-US" w:bidi="th-TH"/>
              </w:rPr>
            </w:pPr>
            <w:proofErr w:type="spellStart"/>
            <w:r w:rsidRPr="0024134B">
              <w:rPr>
                <w:rFonts w:eastAsia="Times New Roman"/>
                <w:color w:val="000000"/>
                <w:sz w:val="20"/>
                <w:szCs w:val="20"/>
                <w:lang w:val="en-US" w:eastAsia="en-US" w:bidi="th-TH"/>
              </w:rPr>
              <w:t>Thanintharyri</w:t>
            </w:r>
            <w:proofErr w:type="spellEnd"/>
          </w:p>
        </w:tc>
        <w:tc>
          <w:tcPr>
            <w:tcW w:w="1620" w:type="dxa"/>
            <w:tcBorders>
              <w:top w:val="single" w:sz="4" w:space="0" w:color="auto"/>
              <w:left w:val="single" w:sz="4" w:space="0" w:color="auto"/>
              <w:bottom w:val="nil"/>
              <w:right w:val="single" w:sz="4" w:space="0" w:color="auto"/>
            </w:tcBorders>
            <w:shd w:val="clear" w:color="FFFFFF" w:fill="FFFFFF"/>
            <w:noWrap/>
            <w:vAlign w:val="bottom"/>
            <w:hideMark/>
          </w:tcPr>
          <w:p w14:paraId="667183FB"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29,599 K</w:t>
            </w:r>
          </w:p>
        </w:tc>
        <w:tc>
          <w:tcPr>
            <w:tcW w:w="1530" w:type="dxa"/>
            <w:tcBorders>
              <w:top w:val="single" w:sz="4" w:space="0" w:color="auto"/>
              <w:left w:val="single" w:sz="4" w:space="0" w:color="auto"/>
              <w:bottom w:val="nil"/>
              <w:right w:val="single" w:sz="4" w:space="0" w:color="auto"/>
            </w:tcBorders>
            <w:shd w:val="clear" w:color="FFFFFF" w:fill="FFFFFF"/>
            <w:vAlign w:val="bottom"/>
            <w:hideMark/>
          </w:tcPr>
          <w:p w14:paraId="2BE13357"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4,554 K</w:t>
            </w:r>
          </w:p>
        </w:tc>
        <w:tc>
          <w:tcPr>
            <w:tcW w:w="1710" w:type="dxa"/>
            <w:tcBorders>
              <w:top w:val="single" w:sz="4" w:space="0" w:color="auto"/>
              <w:left w:val="single" w:sz="4" w:space="0" w:color="auto"/>
              <w:bottom w:val="nil"/>
              <w:right w:val="single" w:sz="4" w:space="0" w:color="auto"/>
            </w:tcBorders>
            <w:shd w:val="clear" w:color="FFFFFF" w:fill="FFFFFF"/>
            <w:vAlign w:val="bottom"/>
            <w:hideMark/>
          </w:tcPr>
          <w:p w14:paraId="797B4D72"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9,563 K</w:t>
            </w:r>
          </w:p>
        </w:tc>
        <w:tc>
          <w:tcPr>
            <w:tcW w:w="1350" w:type="dxa"/>
            <w:tcBorders>
              <w:top w:val="single" w:sz="4" w:space="0" w:color="auto"/>
              <w:left w:val="single" w:sz="4" w:space="0" w:color="auto"/>
              <w:bottom w:val="nil"/>
              <w:right w:val="single" w:sz="4" w:space="0" w:color="auto"/>
            </w:tcBorders>
            <w:shd w:val="clear" w:color="FFFFFF" w:fill="FFFFFF"/>
            <w:vAlign w:val="bottom"/>
            <w:hideMark/>
          </w:tcPr>
          <w:p w14:paraId="0A56FB23"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1,821 K</w:t>
            </w:r>
          </w:p>
        </w:tc>
        <w:tc>
          <w:tcPr>
            <w:tcW w:w="162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5ED36C5"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45,536 K</w:t>
            </w:r>
          </w:p>
        </w:tc>
        <w:tc>
          <w:tcPr>
            <w:tcW w:w="1710" w:type="dxa"/>
            <w:tcBorders>
              <w:top w:val="single" w:sz="4" w:space="0" w:color="auto"/>
              <w:left w:val="single" w:sz="4" w:space="0" w:color="auto"/>
              <w:bottom w:val="nil"/>
              <w:right w:val="nil"/>
            </w:tcBorders>
            <w:shd w:val="clear" w:color="FFFFFF" w:fill="FFFFFF"/>
            <w:vAlign w:val="bottom"/>
            <w:hideMark/>
          </w:tcPr>
          <w:p w14:paraId="385B013A"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227,682 K</w:t>
            </w:r>
          </w:p>
        </w:tc>
        <w:tc>
          <w:tcPr>
            <w:tcW w:w="1710" w:type="dxa"/>
            <w:tcBorders>
              <w:top w:val="single" w:sz="4" w:space="0" w:color="auto"/>
              <w:left w:val="single" w:sz="4" w:space="0" w:color="auto"/>
              <w:bottom w:val="nil"/>
              <w:right w:val="single" w:sz="4" w:space="0" w:color="auto"/>
            </w:tcBorders>
            <w:shd w:val="clear" w:color="FFFFFF" w:fill="FFFFFF"/>
            <w:vAlign w:val="bottom"/>
            <w:hideMark/>
          </w:tcPr>
          <w:p w14:paraId="164AE9DC"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230,000 K</w:t>
            </w:r>
          </w:p>
        </w:tc>
      </w:tr>
      <w:tr w:rsidR="008E75EF" w:rsidRPr="0024134B" w14:paraId="580D9E90" w14:textId="77777777" w:rsidTr="008E75EF">
        <w:trPr>
          <w:trHeight w:val="260"/>
        </w:trPr>
        <w:tc>
          <w:tcPr>
            <w:tcW w:w="1615"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6AD968F8" w14:textId="77777777" w:rsidR="0024134B" w:rsidRPr="0024134B" w:rsidRDefault="0024134B" w:rsidP="0024134B">
            <w:pPr>
              <w:spacing w:line="240" w:lineRule="auto"/>
              <w:rPr>
                <w:rFonts w:eastAsia="Times New Roman"/>
                <w:color w:val="000000"/>
                <w:sz w:val="20"/>
                <w:szCs w:val="20"/>
                <w:lang w:val="en-US" w:eastAsia="en-US" w:bidi="th-TH"/>
              </w:rPr>
            </w:pPr>
            <w:r w:rsidRPr="0024134B">
              <w:rPr>
                <w:rFonts w:eastAsia="Times New Roman"/>
                <w:color w:val="000000"/>
                <w:sz w:val="20"/>
                <w:szCs w:val="20"/>
                <w:lang w:val="en-US" w:eastAsia="en-US" w:bidi="th-TH"/>
              </w:rPr>
              <w:t>Yangon</w:t>
            </w:r>
          </w:p>
        </w:tc>
        <w:tc>
          <w:tcPr>
            <w:tcW w:w="1620" w:type="dxa"/>
            <w:tcBorders>
              <w:top w:val="single" w:sz="4" w:space="0" w:color="auto"/>
              <w:left w:val="single" w:sz="4" w:space="0" w:color="auto"/>
              <w:bottom w:val="single" w:sz="4" w:space="0" w:color="auto"/>
              <w:right w:val="single" w:sz="4" w:space="0" w:color="auto"/>
            </w:tcBorders>
            <w:shd w:val="clear" w:color="E8F0FE" w:fill="E8F0FE"/>
            <w:noWrap/>
            <w:vAlign w:val="bottom"/>
            <w:hideMark/>
          </w:tcPr>
          <w:p w14:paraId="319CF06D"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30,364 K</w:t>
            </w:r>
          </w:p>
        </w:tc>
        <w:tc>
          <w:tcPr>
            <w:tcW w:w="153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6CC04283"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4,671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26C48F48"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9,810 K</w:t>
            </w:r>
          </w:p>
        </w:tc>
        <w:tc>
          <w:tcPr>
            <w:tcW w:w="135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5DB98204"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1,869 K</w:t>
            </w:r>
          </w:p>
        </w:tc>
        <w:tc>
          <w:tcPr>
            <w:tcW w:w="162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30BDAA85"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46,714 K</w:t>
            </w:r>
          </w:p>
        </w:tc>
        <w:tc>
          <w:tcPr>
            <w:tcW w:w="1710" w:type="dxa"/>
            <w:tcBorders>
              <w:top w:val="single" w:sz="4" w:space="0" w:color="auto"/>
              <w:left w:val="single" w:sz="4" w:space="0" w:color="auto"/>
              <w:bottom w:val="single" w:sz="4" w:space="0" w:color="auto"/>
              <w:right w:val="nil"/>
            </w:tcBorders>
            <w:shd w:val="clear" w:color="E8F0FE" w:fill="E8F0FE"/>
            <w:vAlign w:val="bottom"/>
            <w:hideMark/>
          </w:tcPr>
          <w:p w14:paraId="77438CB3" w14:textId="77777777" w:rsidR="0024134B" w:rsidRPr="0024134B" w:rsidRDefault="0024134B" w:rsidP="0024134B">
            <w:pPr>
              <w:spacing w:line="240" w:lineRule="auto"/>
              <w:jc w:val="right"/>
              <w:rPr>
                <w:rFonts w:eastAsia="Times New Roman"/>
                <w:color w:val="000000"/>
                <w:sz w:val="20"/>
                <w:szCs w:val="20"/>
                <w:lang w:val="en-US" w:eastAsia="en-US" w:bidi="th-TH"/>
              </w:rPr>
            </w:pPr>
            <w:r w:rsidRPr="0024134B">
              <w:rPr>
                <w:rFonts w:eastAsia="Times New Roman"/>
                <w:color w:val="000000"/>
                <w:sz w:val="20"/>
                <w:szCs w:val="20"/>
                <w:lang w:val="en-US" w:eastAsia="en-US" w:bidi="th-TH"/>
              </w:rPr>
              <w:t>233,570 K</w:t>
            </w:r>
          </w:p>
        </w:tc>
        <w:tc>
          <w:tcPr>
            <w:tcW w:w="1710" w:type="dxa"/>
            <w:tcBorders>
              <w:top w:val="single" w:sz="4" w:space="0" w:color="auto"/>
              <w:left w:val="single" w:sz="4" w:space="0" w:color="auto"/>
              <w:bottom w:val="single" w:sz="4" w:space="0" w:color="auto"/>
              <w:right w:val="single" w:sz="4" w:space="0" w:color="auto"/>
            </w:tcBorders>
            <w:shd w:val="clear" w:color="E8F0FE" w:fill="E8F0FE"/>
            <w:vAlign w:val="bottom"/>
            <w:hideMark/>
          </w:tcPr>
          <w:p w14:paraId="7579ADCE" w14:textId="77777777" w:rsidR="0024134B" w:rsidRPr="0024134B" w:rsidRDefault="0024134B" w:rsidP="0024134B">
            <w:pPr>
              <w:spacing w:line="240" w:lineRule="auto"/>
              <w:jc w:val="right"/>
              <w:rPr>
                <w:rFonts w:eastAsia="Times New Roman"/>
                <w:b/>
                <w:bCs/>
                <w:color w:val="000000"/>
                <w:sz w:val="20"/>
                <w:szCs w:val="20"/>
                <w:lang w:val="en-US" w:eastAsia="en-US" w:bidi="th-TH"/>
              </w:rPr>
            </w:pPr>
            <w:r w:rsidRPr="0024134B">
              <w:rPr>
                <w:rFonts w:eastAsia="Times New Roman"/>
                <w:b/>
                <w:bCs/>
                <w:color w:val="000000"/>
                <w:sz w:val="20"/>
                <w:szCs w:val="20"/>
                <w:lang w:val="en-US" w:eastAsia="en-US" w:bidi="th-TH"/>
              </w:rPr>
              <w:t>235,000 K</w:t>
            </w:r>
          </w:p>
        </w:tc>
      </w:tr>
    </w:tbl>
    <w:p w14:paraId="225A46F6" w14:textId="7C610B47" w:rsidR="00023F67" w:rsidRDefault="00023F67"/>
    <w:p w14:paraId="31FAA0AC" w14:textId="77777777" w:rsidR="00023F67" w:rsidRDefault="00023F67"/>
    <w:p w14:paraId="4C4CB8B2" w14:textId="7C00133C" w:rsidR="001D06B4" w:rsidRDefault="00D94E34">
      <w:pPr>
        <w:sectPr w:rsidR="001D06B4" w:rsidSect="00557658">
          <w:headerReference w:type="default" r:id="rId13"/>
          <w:pgSz w:w="15840" w:h="12240" w:orient="landscape"/>
          <w:pgMar w:top="1440" w:right="1440" w:bottom="1440" w:left="1440" w:header="720" w:footer="720" w:gutter="0"/>
          <w:pgNumType w:start="1"/>
          <w:cols w:space="720"/>
          <w:docGrid w:linePitch="299"/>
        </w:sectPr>
      </w:pPr>
      <w:r>
        <w:t>Market prices vary between states</w:t>
      </w:r>
      <w:r w:rsidR="000D2540">
        <w:t xml:space="preserve"> and regions</w:t>
      </w:r>
      <w:r>
        <w:t xml:space="preserve">. The state level </w:t>
      </w:r>
      <w:r w:rsidR="000D2540">
        <w:t>SMEB</w:t>
      </w:r>
      <w:r w:rsidR="00F628B4">
        <w:t xml:space="preserve">s allow for implementing organizations to </w:t>
      </w:r>
      <w:r w:rsidR="00EC1833">
        <w:t xml:space="preserve">better adapt their transfer values based on current market prices. </w:t>
      </w:r>
      <w:r w:rsidR="00661672">
        <w:t xml:space="preserve">More detailed calculations for each state’s food basket can be found in the excel calculations sheet.  </w:t>
      </w:r>
    </w:p>
    <w:p w14:paraId="1178BF67" w14:textId="6C366688" w:rsidR="008825CA" w:rsidRDefault="00ED0DC4" w:rsidP="7788FFCD">
      <w:pPr>
        <w:rPr>
          <w:b/>
          <w:bCs/>
        </w:rPr>
      </w:pPr>
      <w:r w:rsidRPr="7788FFCD">
        <w:rPr>
          <w:b/>
          <w:bCs/>
        </w:rPr>
        <w:lastRenderedPageBreak/>
        <w:t>Annex 2: Multipurpose Cash Transfer Value Recommendations</w:t>
      </w:r>
    </w:p>
    <w:p w14:paraId="48E6FBCE" w14:textId="77777777" w:rsidR="008825CA" w:rsidRDefault="008825CA"/>
    <w:p w14:paraId="4FE13EE2" w14:textId="7D8D6CFA" w:rsidR="00100F30" w:rsidRDefault="008825CA">
      <w:r>
        <w:t>Both the SMEB and MEB are tools for developing transfer values. There are also different methods for calculating transfer values using the MEB, which are explained comprehensively in the MEB technical note.</w:t>
      </w:r>
      <w:r w:rsidR="00037C75" w:rsidRPr="7788FFCD">
        <w:rPr>
          <w:rStyle w:val="FootnoteReference"/>
        </w:rPr>
        <w:footnoteReference w:id="3"/>
      </w:r>
      <w:r>
        <w:t xml:space="preserve"> However humanitarian partners implementing cash</w:t>
      </w:r>
      <w:r w:rsidR="005C016B">
        <w:t xml:space="preserve"> activities</w:t>
      </w:r>
      <w:r>
        <w:t xml:space="preserve"> in Myanmar often have different transfer values, even in similar geographic areas with similar </w:t>
      </w:r>
      <w:r w:rsidR="00944BBA">
        <w:t>beneficiary</w:t>
      </w:r>
      <w:r>
        <w:t xml:space="preserve"> types. The </w:t>
      </w:r>
      <w:r w:rsidR="00944BBA">
        <w:t xml:space="preserve">recommendation </w:t>
      </w:r>
      <w:r w:rsidR="00A63A62">
        <w:t>from the CWG to implementing partners</w:t>
      </w:r>
      <w:r>
        <w:t xml:space="preserve"> is to </w:t>
      </w:r>
      <w:r w:rsidR="000A0498">
        <w:t>align transfer values where feasible and appropriate. The SMEB helps move towards a standard Multi-Purpose Cash Assistance (</w:t>
      </w:r>
      <w:r w:rsidR="0087444A">
        <w:t xml:space="preserve">MPCA) transfer value overcoming some of the issues faced by the MEB. </w:t>
      </w:r>
    </w:p>
    <w:p w14:paraId="31295EBF" w14:textId="77777777" w:rsidR="00100F30" w:rsidRDefault="00100F30"/>
    <w:p w14:paraId="65FD7140" w14:textId="5F6EBF63" w:rsidR="00100F30" w:rsidRDefault="0087444A">
      <w:pPr>
        <w:rPr>
          <w:b/>
          <w:bCs/>
        </w:rPr>
      </w:pPr>
      <w:r w:rsidRPr="7788FFCD">
        <w:rPr>
          <w:b/>
          <w:bCs/>
        </w:rPr>
        <w:t xml:space="preserve">The State Level SMEB calculations in </w:t>
      </w:r>
      <w:r w:rsidR="00100F30">
        <w:rPr>
          <w:b/>
          <w:bCs/>
        </w:rPr>
        <w:t>A</w:t>
      </w:r>
      <w:r w:rsidRPr="7788FFCD">
        <w:rPr>
          <w:b/>
          <w:bCs/>
        </w:rPr>
        <w:t>nnex 1 provides a</w:t>
      </w:r>
      <w:r w:rsidR="006D1C77">
        <w:rPr>
          <w:b/>
          <w:bCs/>
        </w:rPr>
        <w:t xml:space="preserve">n appropriate </w:t>
      </w:r>
      <w:r w:rsidRPr="7788FFCD">
        <w:rPr>
          <w:b/>
          <w:bCs/>
        </w:rPr>
        <w:t>transfer value in contexts where the capacity of HHs to meet their needs is severely constrained</w:t>
      </w:r>
      <w:r w:rsidR="00FD235B">
        <w:rPr>
          <w:b/>
          <w:bCs/>
        </w:rPr>
        <w:t xml:space="preserve"> a</w:t>
      </w:r>
      <w:r w:rsidRPr="7788FFCD">
        <w:rPr>
          <w:b/>
          <w:bCs/>
        </w:rPr>
        <w:t>nd is the Myanmar CWG recommended MPCA transfer value.</w:t>
      </w:r>
      <w:r w:rsidR="003309CF" w:rsidRPr="7788FFCD">
        <w:rPr>
          <w:b/>
          <w:bCs/>
        </w:rPr>
        <w:t xml:space="preserve"> </w:t>
      </w:r>
      <w:r w:rsidR="0039173E">
        <w:rPr>
          <w:b/>
          <w:bCs/>
        </w:rPr>
        <w:t xml:space="preserve">All proposals with MPCA should align with the </w:t>
      </w:r>
      <w:r w:rsidR="00C04745">
        <w:rPr>
          <w:b/>
          <w:bCs/>
        </w:rPr>
        <w:t>CWG recommended transfer values in Annex 1.</w:t>
      </w:r>
    </w:p>
    <w:p w14:paraId="498FC5B0" w14:textId="77777777" w:rsidR="00100F30" w:rsidRDefault="00100F30">
      <w:pPr>
        <w:rPr>
          <w:b/>
          <w:bCs/>
        </w:rPr>
      </w:pPr>
    </w:p>
    <w:p w14:paraId="511292C1" w14:textId="19555672" w:rsidR="00E24B6E" w:rsidRDefault="005177CA">
      <w:pPr>
        <w:rPr>
          <w:b/>
          <w:bCs/>
        </w:rPr>
      </w:pPr>
      <w:r>
        <w:t>In</w:t>
      </w:r>
      <w:r w:rsidR="003309CF">
        <w:t xml:space="preserve"> some areas partners may agree to provide only a </w:t>
      </w:r>
      <w:r w:rsidR="00164EBA">
        <w:t xml:space="preserve">fraction </w:t>
      </w:r>
      <w:r w:rsidR="003309CF">
        <w:t xml:space="preserve">of the </w:t>
      </w:r>
      <w:proofErr w:type="gramStart"/>
      <w:r w:rsidR="003309CF">
        <w:t xml:space="preserve">SMEB, </w:t>
      </w:r>
      <w:r w:rsidR="00594BFA">
        <w:t>or</w:t>
      </w:r>
      <w:proofErr w:type="gramEnd"/>
      <w:r w:rsidR="00594BFA">
        <w:t xml:space="preserve"> </w:t>
      </w:r>
      <w:r w:rsidR="00164EBA">
        <w:t xml:space="preserve">may </w:t>
      </w:r>
      <w:r w:rsidR="0055298E">
        <w:t>provide</w:t>
      </w:r>
      <w:r w:rsidR="00164EBA">
        <w:t xml:space="preserve"> more</w:t>
      </w:r>
      <w:r>
        <w:t xml:space="preserve">. </w:t>
      </w:r>
      <w:r w:rsidR="00164EBA">
        <w:t>These</w:t>
      </w:r>
      <w:r w:rsidR="003309CF">
        <w:t xml:space="preserve"> approach</w:t>
      </w:r>
      <w:r w:rsidR="00164EBA">
        <w:t>es</w:t>
      </w:r>
      <w:r w:rsidR="003309CF">
        <w:t xml:space="preserve"> should only be </w:t>
      </w:r>
      <w:r w:rsidR="00453932">
        <w:t xml:space="preserve">used when </w:t>
      </w:r>
      <w:r w:rsidR="003309CF">
        <w:t xml:space="preserve">data has been collected indicating that program </w:t>
      </w:r>
      <w:r w:rsidR="00453932">
        <w:t>beneficiaries need more or less of the</w:t>
      </w:r>
      <w:r w:rsidR="003309CF">
        <w:t xml:space="preserve"> SMEB to meet their basic needs. This should also be agreed upon by all partners providing MPCA </w:t>
      </w:r>
      <w:r w:rsidR="00F84568">
        <w:t>in each</w:t>
      </w:r>
      <w:r w:rsidR="003309CF">
        <w:t xml:space="preserve"> township to avoid any conflict and confusion amongst communities receiving assistance. </w:t>
      </w:r>
      <w:r w:rsidR="00A74EF7">
        <w:t>Furthermore,</w:t>
      </w:r>
      <w:r w:rsidR="003309CF">
        <w:t xml:space="preserve"> the CWG will work to track more closely the MPCA transfer values of different partners across Myanmar as well as household expenditure data, and will adapt </w:t>
      </w:r>
      <w:r w:rsidR="00C07130">
        <w:t>this a</w:t>
      </w:r>
      <w:r w:rsidR="003309CF">
        <w:t xml:space="preserve">nnex, if necessary, based on the data available.   </w:t>
      </w:r>
      <w:r w:rsidR="00037C75">
        <w:br w:type="page"/>
      </w:r>
      <w:r w:rsidR="7788FFCD" w:rsidRPr="7788FFCD">
        <w:rPr>
          <w:b/>
          <w:bCs/>
        </w:rPr>
        <w:lastRenderedPageBreak/>
        <w:t xml:space="preserve">Annex 3: </w:t>
      </w:r>
      <w:r w:rsidR="00A74EF7">
        <w:rPr>
          <w:b/>
          <w:bCs/>
        </w:rPr>
        <w:t xml:space="preserve">SMEB </w:t>
      </w:r>
      <w:r w:rsidR="00E24B6E">
        <w:rPr>
          <w:b/>
          <w:bCs/>
        </w:rPr>
        <w:t>FAQ</w:t>
      </w:r>
    </w:p>
    <w:p w14:paraId="7800550D" w14:textId="77777777" w:rsidR="00E24B6E" w:rsidRDefault="00E24B6E">
      <w:pPr>
        <w:rPr>
          <w:b/>
          <w:bCs/>
        </w:rPr>
      </w:pPr>
    </w:p>
    <w:p w14:paraId="6CBEAF00" w14:textId="5F6B1525" w:rsidR="00E24B6E" w:rsidRDefault="005A42B5" w:rsidP="00E24B6E">
      <w:pPr>
        <w:numPr>
          <w:ilvl w:val="0"/>
          <w:numId w:val="6"/>
        </w:numPr>
      </w:pPr>
      <w:r w:rsidRPr="005A42B5">
        <w:rPr>
          <w:b/>
          <w:bCs/>
        </w:rPr>
        <w:t>Why are specific non-food items</w:t>
      </w:r>
      <w:r>
        <w:rPr>
          <w:b/>
          <w:bCs/>
        </w:rPr>
        <w:t xml:space="preserve"> and sectors</w:t>
      </w:r>
      <w:r w:rsidRPr="005A42B5">
        <w:rPr>
          <w:b/>
          <w:bCs/>
        </w:rPr>
        <w:t xml:space="preserve"> left out of the SMEB?</w:t>
      </w:r>
      <w:r w:rsidR="00E24B6E">
        <w:t xml:space="preserve"> Identifying </w:t>
      </w:r>
      <w:r>
        <w:t>items</w:t>
      </w:r>
      <w:r w:rsidR="00E24B6E">
        <w:t xml:space="preserve"> or </w:t>
      </w:r>
      <w:r>
        <w:t xml:space="preserve">even </w:t>
      </w:r>
      <w:r w:rsidR="00E24B6E">
        <w:t xml:space="preserve">sectors </w:t>
      </w:r>
      <w:r>
        <w:t xml:space="preserve">is </w:t>
      </w:r>
      <w:r w:rsidR="00685984">
        <w:t xml:space="preserve">less important </w:t>
      </w:r>
      <w:r w:rsidR="00E24B6E">
        <w:t xml:space="preserve">since program participants have the agency to make purchasing decisions themselves. </w:t>
      </w:r>
      <w:r w:rsidR="00E448E5">
        <w:t xml:space="preserve">More important </w:t>
      </w:r>
      <w:r w:rsidR="00E24B6E">
        <w:t xml:space="preserve">is </w:t>
      </w:r>
      <w:r w:rsidR="00E448E5">
        <w:t>that there is</w:t>
      </w:r>
      <w:r w:rsidR="00E24B6E">
        <w:t xml:space="preserve"> a justifiable overall survival </w:t>
      </w:r>
      <w:r w:rsidR="00957404">
        <w:t>cost</w:t>
      </w:r>
      <w:r w:rsidR="00E24B6E">
        <w:t xml:space="preserve"> based on household expenditure data. We feel confident that the amount </w:t>
      </w:r>
      <w:r w:rsidR="00957404">
        <w:t>endorsed by the CWG</w:t>
      </w:r>
      <w:r w:rsidR="00E24B6E">
        <w:t xml:space="preserve"> aligns well with meeting </w:t>
      </w:r>
      <w:r w:rsidR="00D442C1">
        <w:t xml:space="preserve">the </w:t>
      </w:r>
      <w:r w:rsidR="00E24B6E">
        <w:t xml:space="preserve">survival needs </w:t>
      </w:r>
      <w:r w:rsidR="00D442C1">
        <w:t>of people in need.</w:t>
      </w:r>
      <w:r w:rsidR="00E24B6E">
        <w:t xml:space="preserve"> </w:t>
      </w:r>
    </w:p>
    <w:p w14:paraId="6A4C724E" w14:textId="02A726E6" w:rsidR="00E24B6E" w:rsidRDefault="00957404" w:rsidP="00E24B6E">
      <w:pPr>
        <w:numPr>
          <w:ilvl w:val="0"/>
          <w:numId w:val="13"/>
        </w:numPr>
      </w:pPr>
      <w:r w:rsidRPr="00957404">
        <w:rPr>
          <w:b/>
          <w:bCs/>
        </w:rPr>
        <w:t>Why not include a more nutritious food basket?</w:t>
      </w:r>
      <w:r>
        <w:t xml:space="preserve"> </w:t>
      </w:r>
      <w:r w:rsidR="0003558A" w:rsidRPr="0003558A">
        <w:rPr>
          <w:b/>
          <w:bCs/>
        </w:rPr>
        <w:t>Don’t we want to meet nutrition outcomes?</w:t>
      </w:r>
      <w:r w:rsidR="0003558A">
        <w:t xml:space="preserve"> </w:t>
      </w:r>
      <w:r w:rsidR="00E24B6E">
        <w:t xml:space="preserve">The MEB </w:t>
      </w:r>
      <w:r>
        <w:t>calculates the cost</w:t>
      </w:r>
      <w:r w:rsidR="00E24B6E">
        <w:t xml:space="preserve"> of a diverse and more nutritious food basket</w:t>
      </w:r>
      <w:r>
        <w:t xml:space="preserve"> based on a typical diet</w:t>
      </w:r>
      <w:r w:rsidR="00E24B6E">
        <w:t xml:space="preserve">. </w:t>
      </w:r>
      <w:r w:rsidR="00973624">
        <w:t>However, t</w:t>
      </w:r>
      <w:r w:rsidR="00E24B6E">
        <w:t xml:space="preserve">here are issues with including more nutritious food </w:t>
      </w:r>
      <w:r w:rsidR="00C33A35">
        <w:t xml:space="preserve">into the </w:t>
      </w:r>
      <w:r w:rsidR="00E24B6E">
        <w:t xml:space="preserve">basket. One is that </w:t>
      </w:r>
      <w:r w:rsidR="00A31B50">
        <w:t xml:space="preserve">humanitarian </w:t>
      </w:r>
      <w:r w:rsidR="00E24B6E">
        <w:t xml:space="preserve">resources are insufficient to cover that type of food basket given the needs. Secondly, it does not align with what WFP is providing either in-kind or via its calculation of their </w:t>
      </w:r>
      <w:r w:rsidR="006F1EB2">
        <w:t xml:space="preserve">food </w:t>
      </w:r>
      <w:r w:rsidR="00E24B6E">
        <w:t>cash transfer values. Thirdly, a more diverse SMEB basket requires regular market price monitoring of all those items</w:t>
      </w:r>
      <w:r w:rsidR="001033F4">
        <w:t xml:space="preserve"> included in the calculation</w:t>
      </w:r>
      <w:r w:rsidR="00E24B6E">
        <w:t xml:space="preserve">, </w:t>
      </w:r>
      <w:r w:rsidR="00E81C47">
        <w:t xml:space="preserve">which is not practical in the current context. </w:t>
      </w:r>
      <w:r w:rsidR="006B2BCF">
        <w:t>Lastly</w:t>
      </w:r>
      <w:r w:rsidR="00E24B6E">
        <w:t xml:space="preserve">, </w:t>
      </w:r>
      <w:r w:rsidR="006B2BCF">
        <w:t xml:space="preserve">while </w:t>
      </w:r>
      <w:r w:rsidR="00E24B6E">
        <w:t xml:space="preserve">MPCA </w:t>
      </w:r>
      <w:r w:rsidR="006B2BCF">
        <w:t>may improve nutrition outcomes</w:t>
      </w:r>
      <w:r w:rsidR="00004DCF">
        <w:t>,</w:t>
      </w:r>
      <w:r w:rsidR="006B2BCF">
        <w:t xml:space="preserve"> there are other </w:t>
      </w:r>
      <w:r w:rsidR="00004DCF">
        <w:t>more targeted interventions that would likely have a more direct impact on nutrition outcomes</w:t>
      </w:r>
      <w:r w:rsidR="00E24B6E">
        <w:t>. Including these nutritious food items in the SMEB may present a misconception that the MPCA transfer meets nutrition needs.</w:t>
      </w:r>
    </w:p>
    <w:p w14:paraId="11CA1C57" w14:textId="017A83FD" w:rsidR="00E24B6E" w:rsidRDefault="00F51BC0" w:rsidP="00E24B6E">
      <w:pPr>
        <w:numPr>
          <w:ilvl w:val="0"/>
          <w:numId w:val="9"/>
        </w:numPr>
      </w:pPr>
      <w:r w:rsidRPr="00026100">
        <w:rPr>
          <w:b/>
          <w:bCs/>
        </w:rPr>
        <w:t>Why was health not included in the SMEB calculation?</w:t>
      </w:r>
      <w:r>
        <w:t xml:space="preserve"> </w:t>
      </w:r>
      <w:r w:rsidR="00E24B6E">
        <w:t>Health was excluded because recurrent health expenditures are difficult to determine and calculate, although it is acknowledged that health often makes up a significant portion of household monthly expenditure in Myanmar</w:t>
      </w:r>
      <w:r w:rsidR="00026100">
        <w:t xml:space="preserve">. </w:t>
      </w:r>
    </w:p>
    <w:p w14:paraId="11ADEEB4" w14:textId="658ADF7E" w:rsidR="00E24B6E" w:rsidRDefault="00E846B6" w:rsidP="00E24B6E">
      <w:pPr>
        <w:numPr>
          <w:ilvl w:val="0"/>
          <w:numId w:val="6"/>
        </w:numPr>
      </w:pPr>
      <w:r w:rsidRPr="00E846B6">
        <w:rPr>
          <w:b/>
          <w:bCs/>
        </w:rPr>
        <w:t>Why do we need to continue monitoring non-food items?</w:t>
      </w:r>
      <w:r>
        <w:t xml:space="preserve"> </w:t>
      </w:r>
      <w:r w:rsidR="00A23546">
        <w:t>Each sector makes up a certain percentage of the MEB. The CWG</w:t>
      </w:r>
      <w:r w:rsidR="00E24B6E">
        <w:t xml:space="preserve"> should continue to monitor and collect additional data to see how </w:t>
      </w:r>
      <w:r w:rsidR="00163346">
        <w:t>well the</w:t>
      </w:r>
      <w:r w:rsidR="00A23546">
        <w:t xml:space="preserve"> MEB </w:t>
      </w:r>
      <w:r w:rsidR="00F47F12">
        <w:t>sectoral proportions</w:t>
      </w:r>
      <w:r w:rsidR="004F2CA6">
        <w:t xml:space="preserve"> </w:t>
      </w:r>
      <w:r w:rsidR="00163346">
        <w:t>hold up in the face of a</w:t>
      </w:r>
      <w:r w:rsidR="00226543">
        <w:t xml:space="preserve"> changing </w:t>
      </w:r>
      <w:r w:rsidR="007D48BB">
        <w:t>household economic</w:t>
      </w:r>
      <w:r w:rsidR="00163346">
        <w:t xml:space="preserve"> situation. </w:t>
      </w:r>
    </w:p>
    <w:p w14:paraId="58AB329A" w14:textId="69F642F2" w:rsidR="00E24B6E" w:rsidRDefault="00E434DB" w:rsidP="00E24B6E">
      <w:pPr>
        <w:numPr>
          <w:ilvl w:val="0"/>
          <w:numId w:val="12"/>
        </w:numPr>
      </w:pPr>
      <w:r w:rsidRPr="00E434DB">
        <w:rPr>
          <w:b/>
          <w:bCs/>
        </w:rPr>
        <w:t>Why is the CWG using an average household size of 5?</w:t>
      </w:r>
      <w:r w:rsidR="00E24B6E">
        <w:t xml:space="preserve"> </w:t>
      </w:r>
      <w:r>
        <w:t>D</w:t>
      </w:r>
      <w:r w:rsidR="00E24B6E">
        <w:t xml:space="preserve">uring the </w:t>
      </w:r>
      <w:r>
        <w:t xml:space="preserve">MEB consultations with the </w:t>
      </w:r>
      <w:r w:rsidR="00E24B6E">
        <w:t xml:space="preserve">CWG </w:t>
      </w:r>
      <w:r>
        <w:t>it was agreed to use an average household size of 5</w:t>
      </w:r>
      <w:r w:rsidR="00E24B6E">
        <w:t xml:space="preserve">. The MEB is calculated based on a household size of 5 using adult equivalency </w:t>
      </w:r>
      <w:r>
        <w:t xml:space="preserve">which </w:t>
      </w:r>
      <w:r w:rsidR="00E24B6E">
        <w:t>account</w:t>
      </w:r>
      <w:r>
        <w:t>s</w:t>
      </w:r>
      <w:r w:rsidR="00E24B6E">
        <w:t xml:space="preserve"> for economies of scale</w:t>
      </w:r>
      <w:r w:rsidR="00BD65D7">
        <w:t xml:space="preserve"> in the assistance</w:t>
      </w:r>
      <w:r w:rsidR="00E24B6E">
        <w:t>. Therefore, the SMEB and household MPCA transfer values should keep the average household size at 5</w:t>
      </w:r>
      <w:r>
        <w:t xml:space="preserve"> as well</w:t>
      </w:r>
      <w:r w:rsidR="00E24B6E">
        <w:t xml:space="preserve">. If partners want to </w:t>
      </w:r>
      <w:r>
        <w:t xml:space="preserve">create </w:t>
      </w:r>
      <w:r w:rsidR="00E24B6E">
        <w:t>transfer</w:t>
      </w:r>
      <w:r>
        <w:t xml:space="preserve"> values</w:t>
      </w:r>
      <w:r w:rsidR="00E24B6E">
        <w:t xml:space="preserve"> based on the actual household size</w:t>
      </w:r>
      <w:r>
        <w:t xml:space="preserve"> of their programs</w:t>
      </w:r>
      <w:r w:rsidR="00E24B6E">
        <w:t xml:space="preserve">, they can simply </w:t>
      </w:r>
      <w:r>
        <w:t>take the individual SMEB amount,</w:t>
      </w:r>
      <w:r w:rsidR="00E24B6E">
        <w:t xml:space="preserve"> then multiply that value by the number of individuals in the recipient household.</w:t>
      </w:r>
    </w:p>
    <w:p w14:paraId="3AC1152A" w14:textId="5485829B" w:rsidR="00E24B6E" w:rsidRDefault="00E434DB" w:rsidP="00E24B6E">
      <w:pPr>
        <w:numPr>
          <w:ilvl w:val="0"/>
          <w:numId w:val="7"/>
        </w:numPr>
      </w:pPr>
      <w:r w:rsidRPr="00E434DB">
        <w:rPr>
          <w:b/>
          <w:bCs/>
        </w:rPr>
        <w:t>Will the SMEB be contextualized to different geographies?</w:t>
      </w:r>
      <w:r w:rsidR="00E24B6E">
        <w:t xml:space="preserve"> </w:t>
      </w:r>
      <w:r>
        <w:t>The SMEB can</w:t>
      </w:r>
      <w:r w:rsidR="00E24B6E">
        <w:t xml:space="preserve"> easily </w:t>
      </w:r>
      <w:r>
        <w:t xml:space="preserve">be </w:t>
      </w:r>
      <w:r w:rsidR="00E24B6E">
        <w:t>adjust</w:t>
      </w:r>
      <w:r>
        <w:t>ed</w:t>
      </w:r>
      <w:r w:rsidR="00E24B6E">
        <w:t xml:space="preserve"> based on geographic price differences with the </w:t>
      </w:r>
      <w:r>
        <w:t>current</w:t>
      </w:r>
      <w:r w:rsidR="00E24B6E">
        <w:t xml:space="preserve"> methodology, and it does not require </w:t>
      </w:r>
      <w:r>
        <w:t xml:space="preserve">the CWG </w:t>
      </w:r>
      <w:r w:rsidR="00E24B6E">
        <w:t xml:space="preserve">to monitor every NFI item </w:t>
      </w:r>
      <w:r>
        <w:t>across all states.</w:t>
      </w:r>
      <w:r w:rsidR="00E24B6E">
        <w:t xml:space="preserve"> (</w:t>
      </w:r>
      <w:proofErr w:type="gramStart"/>
      <w:r w:rsidR="00E24B6E">
        <w:t>refer</w:t>
      </w:r>
      <w:proofErr w:type="gramEnd"/>
      <w:r w:rsidR="00E24B6E">
        <w:t xml:space="preserve"> to annex 1). </w:t>
      </w:r>
    </w:p>
    <w:p w14:paraId="1C55B038" w14:textId="6ED24AFF" w:rsidR="00E24B6E" w:rsidRDefault="00E434DB" w:rsidP="00E24B6E">
      <w:pPr>
        <w:numPr>
          <w:ilvl w:val="0"/>
          <w:numId w:val="5"/>
        </w:numPr>
      </w:pPr>
      <w:r w:rsidRPr="00E434DB">
        <w:rPr>
          <w:b/>
          <w:bCs/>
        </w:rPr>
        <w:t xml:space="preserve">How should </w:t>
      </w:r>
      <w:r w:rsidR="007D7F89">
        <w:rPr>
          <w:b/>
          <w:bCs/>
        </w:rPr>
        <w:t xml:space="preserve">beneficiary </w:t>
      </w:r>
      <w:r w:rsidRPr="00E434DB">
        <w:rPr>
          <w:b/>
          <w:bCs/>
        </w:rPr>
        <w:t>vulnerability influence the SMEB amount?</w:t>
      </w:r>
      <w:r w:rsidR="00E24B6E">
        <w:t xml:space="preserve"> </w:t>
      </w:r>
      <w:r w:rsidR="007D7F89">
        <w:t xml:space="preserve">Beneficiary </w:t>
      </w:r>
      <w:r>
        <w:t>v</w:t>
      </w:r>
      <w:r w:rsidR="00E24B6E">
        <w:t xml:space="preserve">ulnerability varies between geographies and populations </w:t>
      </w:r>
      <w:r>
        <w:t>across</w:t>
      </w:r>
      <w:r w:rsidR="00E24B6E">
        <w:t xml:space="preserve"> Myanmar. However, for the SMEB, </w:t>
      </w:r>
      <w:r>
        <w:t xml:space="preserve">it is calculated </w:t>
      </w:r>
      <w:r w:rsidR="00BD65D7">
        <w:t>to meet</w:t>
      </w:r>
      <w:r w:rsidR="00E24B6E">
        <w:t xml:space="preserve"> </w:t>
      </w:r>
      <w:r w:rsidR="00CC68A7">
        <w:t xml:space="preserve">a </w:t>
      </w:r>
      <w:r>
        <w:t xml:space="preserve">basic level of </w:t>
      </w:r>
      <w:r w:rsidR="00CC68A7">
        <w:t xml:space="preserve">household needs regardless of each households’ </w:t>
      </w:r>
      <w:r w:rsidR="00E24B6E">
        <w:t xml:space="preserve">capacity to meet those needs on their own, with outside support, or </w:t>
      </w:r>
      <w:r w:rsidR="00E24B6E">
        <w:lastRenderedPageBreak/>
        <w:t xml:space="preserve">through coping mechanisms. Vulnerability </w:t>
      </w:r>
      <w:r w:rsidR="00C77F66">
        <w:t>should be considered when developing</w:t>
      </w:r>
      <w:r w:rsidR="00E24B6E">
        <w:t xml:space="preserve"> transfer values and </w:t>
      </w:r>
      <w:r w:rsidR="00C77F66">
        <w:t>deciding how much of the</w:t>
      </w:r>
      <w:r w:rsidR="00E24B6E">
        <w:t xml:space="preserve"> MEB </w:t>
      </w:r>
      <w:r w:rsidR="00C77F66">
        <w:t>or</w:t>
      </w:r>
      <w:r w:rsidR="00E24B6E">
        <w:t xml:space="preserve"> SMEB</w:t>
      </w:r>
      <w:r w:rsidR="00C77F66">
        <w:t xml:space="preserve"> to provide</w:t>
      </w:r>
      <w:r w:rsidR="00E24B6E">
        <w:t>.</w:t>
      </w:r>
    </w:p>
    <w:p w14:paraId="0E679A6D" w14:textId="78344A4C" w:rsidR="007D7F89" w:rsidRDefault="007D7F89" w:rsidP="00E24B6E">
      <w:pPr>
        <w:numPr>
          <w:ilvl w:val="0"/>
          <w:numId w:val="5"/>
        </w:numPr>
      </w:pPr>
      <w:r>
        <w:rPr>
          <w:b/>
          <w:bCs/>
        </w:rPr>
        <w:t>How often is the SMEB updated?</w:t>
      </w:r>
      <w:r>
        <w:t xml:space="preserve"> The SMEB is planned to be updated every 6 </w:t>
      </w:r>
      <w:proofErr w:type="gramStart"/>
      <w:r>
        <w:t>months</w:t>
      </w:r>
      <w:r w:rsidR="0051289D">
        <w:t>,</w:t>
      </w:r>
      <w:r>
        <w:t xml:space="preserve"> </w:t>
      </w:r>
      <w:r w:rsidR="0051289D">
        <w:t>unless</w:t>
      </w:r>
      <w:proofErr w:type="gramEnd"/>
      <w:r w:rsidR="0051289D">
        <w:t xml:space="preserve"> conditions require a more frequent update due to significant market price increases. The CWG will monitor this in consultation with implementing partners. </w:t>
      </w:r>
    </w:p>
    <w:p w14:paraId="08408BDA" w14:textId="77777777" w:rsidR="00E24B6E" w:rsidRDefault="00E24B6E">
      <w:pPr>
        <w:rPr>
          <w:b/>
          <w:bCs/>
        </w:rPr>
      </w:pPr>
    </w:p>
    <w:p w14:paraId="0AC2999A" w14:textId="77777777" w:rsidR="00E24B6E" w:rsidRDefault="00E24B6E">
      <w:pPr>
        <w:rPr>
          <w:b/>
          <w:bCs/>
        </w:rPr>
      </w:pPr>
    </w:p>
    <w:p w14:paraId="0D11B9A4" w14:textId="77777777" w:rsidR="00E24B6E" w:rsidRDefault="00E24B6E">
      <w:pPr>
        <w:rPr>
          <w:b/>
          <w:bCs/>
        </w:rPr>
      </w:pPr>
    </w:p>
    <w:p w14:paraId="5F8917EC" w14:textId="77777777" w:rsidR="00E24B6E" w:rsidRDefault="00E24B6E">
      <w:pPr>
        <w:rPr>
          <w:b/>
          <w:bCs/>
        </w:rPr>
      </w:pPr>
    </w:p>
    <w:p w14:paraId="052FA5EC" w14:textId="77777777" w:rsidR="00E24B6E" w:rsidRDefault="00E24B6E">
      <w:pPr>
        <w:rPr>
          <w:b/>
          <w:bCs/>
        </w:rPr>
      </w:pPr>
    </w:p>
    <w:p w14:paraId="7A500C02" w14:textId="77777777" w:rsidR="00E24B6E" w:rsidRDefault="00E24B6E">
      <w:pPr>
        <w:rPr>
          <w:b/>
          <w:bCs/>
        </w:rPr>
      </w:pPr>
    </w:p>
    <w:p w14:paraId="7C02DB39" w14:textId="77777777" w:rsidR="00E24B6E" w:rsidRDefault="00E24B6E">
      <w:pPr>
        <w:rPr>
          <w:b/>
          <w:bCs/>
        </w:rPr>
      </w:pPr>
    </w:p>
    <w:p w14:paraId="051AFDFF" w14:textId="77777777" w:rsidR="00E24B6E" w:rsidRDefault="00E24B6E">
      <w:pPr>
        <w:rPr>
          <w:b/>
          <w:bCs/>
        </w:rPr>
      </w:pPr>
    </w:p>
    <w:p w14:paraId="3D992D75" w14:textId="77777777" w:rsidR="00E24B6E" w:rsidRDefault="00E24B6E">
      <w:pPr>
        <w:rPr>
          <w:b/>
          <w:bCs/>
        </w:rPr>
      </w:pPr>
    </w:p>
    <w:p w14:paraId="7D74F8EA" w14:textId="77777777" w:rsidR="00E24B6E" w:rsidRDefault="00E24B6E">
      <w:pPr>
        <w:rPr>
          <w:b/>
          <w:bCs/>
        </w:rPr>
      </w:pPr>
    </w:p>
    <w:p w14:paraId="0136976C" w14:textId="77777777" w:rsidR="00E24B6E" w:rsidRDefault="00E24B6E">
      <w:pPr>
        <w:rPr>
          <w:b/>
          <w:bCs/>
        </w:rPr>
      </w:pPr>
    </w:p>
    <w:p w14:paraId="26C0B55B" w14:textId="77777777" w:rsidR="00E24B6E" w:rsidRDefault="00E24B6E">
      <w:pPr>
        <w:rPr>
          <w:b/>
          <w:bCs/>
        </w:rPr>
      </w:pPr>
    </w:p>
    <w:p w14:paraId="1C838C11" w14:textId="77777777" w:rsidR="00E24B6E" w:rsidRDefault="00E24B6E">
      <w:pPr>
        <w:rPr>
          <w:b/>
          <w:bCs/>
        </w:rPr>
      </w:pPr>
    </w:p>
    <w:p w14:paraId="2A10376F" w14:textId="77777777" w:rsidR="00E24B6E" w:rsidRDefault="00E24B6E">
      <w:pPr>
        <w:rPr>
          <w:b/>
          <w:bCs/>
        </w:rPr>
      </w:pPr>
    </w:p>
    <w:p w14:paraId="5C3FA6AC" w14:textId="77777777" w:rsidR="00E24B6E" w:rsidRDefault="00E24B6E">
      <w:pPr>
        <w:rPr>
          <w:b/>
          <w:bCs/>
        </w:rPr>
      </w:pPr>
    </w:p>
    <w:p w14:paraId="7AC1A84D" w14:textId="77777777" w:rsidR="00E24B6E" w:rsidRDefault="00E24B6E">
      <w:pPr>
        <w:rPr>
          <w:b/>
          <w:bCs/>
        </w:rPr>
      </w:pPr>
    </w:p>
    <w:p w14:paraId="4B1E53A1" w14:textId="77777777" w:rsidR="00E24B6E" w:rsidRDefault="00E24B6E">
      <w:pPr>
        <w:rPr>
          <w:b/>
          <w:bCs/>
        </w:rPr>
      </w:pPr>
    </w:p>
    <w:p w14:paraId="3E953261" w14:textId="77777777" w:rsidR="00E24B6E" w:rsidRDefault="00E24B6E">
      <w:pPr>
        <w:rPr>
          <w:b/>
          <w:bCs/>
        </w:rPr>
      </w:pPr>
    </w:p>
    <w:p w14:paraId="1B728D90" w14:textId="77777777" w:rsidR="00E24B6E" w:rsidRDefault="00E24B6E">
      <w:pPr>
        <w:rPr>
          <w:b/>
          <w:bCs/>
        </w:rPr>
      </w:pPr>
    </w:p>
    <w:p w14:paraId="5F32970E" w14:textId="77777777" w:rsidR="00E24B6E" w:rsidRDefault="00E24B6E">
      <w:pPr>
        <w:rPr>
          <w:b/>
          <w:bCs/>
        </w:rPr>
      </w:pPr>
    </w:p>
    <w:p w14:paraId="68AC8F8B" w14:textId="77777777" w:rsidR="00E24B6E" w:rsidRDefault="00E24B6E">
      <w:pPr>
        <w:rPr>
          <w:b/>
          <w:bCs/>
        </w:rPr>
      </w:pPr>
    </w:p>
    <w:p w14:paraId="3FDC8803" w14:textId="77777777" w:rsidR="00E24B6E" w:rsidRDefault="00E24B6E">
      <w:pPr>
        <w:rPr>
          <w:b/>
          <w:bCs/>
        </w:rPr>
      </w:pPr>
    </w:p>
    <w:p w14:paraId="55EA13FA" w14:textId="77777777" w:rsidR="00E24B6E" w:rsidRDefault="00E24B6E">
      <w:pPr>
        <w:rPr>
          <w:b/>
          <w:bCs/>
        </w:rPr>
      </w:pPr>
    </w:p>
    <w:p w14:paraId="657C274F" w14:textId="77777777" w:rsidR="00E24B6E" w:rsidRDefault="00E24B6E">
      <w:pPr>
        <w:rPr>
          <w:b/>
          <w:bCs/>
        </w:rPr>
      </w:pPr>
    </w:p>
    <w:p w14:paraId="0D84CE8D" w14:textId="77777777" w:rsidR="00E24B6E" w:rsidRDefault="00E24B6E">
      <w:pPr>
        <w:rPr>
          <w:b/>
          <w:bCs/>
        </w:rPr>
      </w:pPr>
    </w:p>
    <w:p w14:paraId="55F7F5B3" w14:textId="77777777" w:rsidR="00E24B6E" w:rsidRDefault="00E24B6E">
      <w:pPr>
        <w:rPr>
          <w:b/>
          <w:bCs/>
        </w:rPr>
      </w:pPr>
    </w:p>
    <w:p w14:paraId="39451193" w14:textId="77777777" w:rsidR="00E24B6E" w:rsidRDefault="00E24B6E">
      <w:pPr>
        <w:rPr>
          <w:b/>
          <w:bCs/>
        </w:rPr>
      </w:pPr>
    </w:p>
    <w:p w14:paraId="498D1F92" w14:textId="77777777" w:rsidR="00E24B6E" w:rsidRDefault="00E24B6E">
      <w:pPr>
        <w:rPr>
          <w:b/>
          <w:bCs/>
        </w:rPr>
      </w:pPr>
    </w:p>
    <w:p w14:paraId="32151003" w14:textId="77777777" w:rsidR="00E24B6E" w:rsidRDefault="00E24B6E">
      <w:pPr>
        <w:rPr>
          <w:b/>
          <w:bCs/>
        </w:rPr>
      </w:pPr>
    </w:p>
    <w:p w14:paraId="34484EEE" w14:textId="77777777" w:rsidR="00E24B6E" w:rsidRDefault="00E24B6E">
      <w:pPr>
        <w:rPr>
          <w:b/>
          <w:bCs/>
        </w:rPr>
      </w:pPr>
    </w:p>
    <w:p w14:paraId="50ED7F29" w14:textId="77777777" w:rsidR="00E24B6E" w:rsidRDefault="00E24B6E">
      <w:pPr>
        <w:rPr>
          <w:b/>
          <w:bCs/>
        </w:rPr>
      </w:pPr>
    </w:p>
    <w:p w14:paraId="64BFBDD0" w14:textId="77777777" w:rsidR="00E24B6E" w:rsidRDefault="00E24B6E">
      <w:pPr>
        <w:rPr>
          <w:b/>
          <w:bCs/>
        </w:rPr>
      </w:pPr>
    </w:p>
    <w:p w14:paraId="30F1DFD0" w14:textId="77777777" w:rsidR="00E24B6E" w:rsidRDefault="00E24B6E">
      <w:pPr>
        <w:rPr>
          <w:b/>
          <w:bCs/>
        </w:rPr>
      </w:pPr>
    </w:p>
    <w:p w14:paraId="6163801C" w14:textId="77777777" w:rsidR="00E24B6E" w:rsidRDefault="00E24B6E">
      <w:pPr>
        <w:rPr>
          <w:b/>
          <w:bCs/>
        </w:rPr>
      </w:pPr>
    </w:p>
    <w:p w14:paraId="65471984" w14:textId="77777777" w:rsidR="00E24B6E" w:rsidRDefault="00E24B6E">
      <w:pPr>
        <w:rPr>
          <w:b/>
          <w:bCs/>
        </w:rPr>
      </w:pPr>
    </w:p>
    <w:p w14:paraId="7CCADB03" w14:textId="77777777" w:rsidR="00E24B6E" w:rsidRDefault="00E24B6E">
      <w:pPr>
        <w:rPr>
          <w:b/>
          <w:bCs/>
        </w:rPr>
      </w:pPr>
    </w:p>
    <w:p w14:paraId="0F166A9F" w14:textId="77777777" w:rsidR="00E24B6E" w:rsidRDefault="00E24B6E">
      <w:pPr>
        <w:rPr>
          <w:b/>
          <w:bCs/>
        </w:rPr>
      </w:pPr>
    </w:p>
    <w:p w14:paraId="5ED2D43C" w14:textId="77777777" w:rsidR="00E24B6E" w:rsidRDefault="00E24B6E">
      <w:pPr>
        <w:rPr>
          <w:b/>
          <w:bCs/>
        </w:rPr>
      </w:pPr>
    </w:p>
    <w:p w14:paraId="78F90C21" w14:textId="77777777" w:rsidR="00E24B6E" w:rsidRDefault="00E24B6E">
      <w:pPr>
        <w:rPr>
          <w:b/>
          <w:bCs/>
        </w:rPr>
      </w:pPr>
    </w:p>
    <w:p w14:paraId="67A3A2DB" w14:textId="77777777" w:rsidR="00E24B6E" w:rsidRDefault="00E24B6E">
      <w:pPr>
        <w:rPr>
          <w:b/>
          <w:bCs/>
        </w:rPr>
      </w:pPr>
    </w:p>
    <w:p w14:paraId="4E600945" w14:textId="77777777" w:rsidR="00E24B6E" w:rsidRDefault="00E24B6E">
      <w:pPr>
        <w:rPr>
          <w:b/>
          <w:bCs/>
        </w:rPr>
      </w:pPr>
    </w:p>
    <w:p w14:paraId="1A357CA8" w14:textId="7CFC6EC9" w:rsidR="00037C75" w:rsidRDefault="00E24B6E">
      <w:r>
        <w:rPr>
          <w:b/>
          <w:bCs/>
        </w:rPr>
        <w:t xml:space="preserve">Annex 4: </w:t>
      </w:r>
      <w:r w:rsidR="7788FFCD" w:rsidRPr="7788FFCD">
        <w:rPr>
          <w:b/>
          <w:bCs/>
        </w:rPr>
        <w:t xml:space="preserve">MEB Resources </w:t>
      </w:r>
    </w:p>
    <w:p w14:paraId="49F3D693" w14:textId="2915E11E" w:rsidR="7788FFCD" w:rsidRDefault="7788FFCD" w:rsidP="7788FFCD">
      <w:pPr>
        <w:rPr>
          <w:b/>
          <w:bCs/>
        </w:rPr>
      </w:pPr>
    </w:p>
    <w:p w14:paraId="76C15292" w14:textId="79BC5DD1" w:rsidR="7788FFCD" w:rsidRDefault="7788FFCD" w:rsidP="7788FFCD">
      <w:pPr>
        <w:pStyle w:val="ListParagraph"/>
        <w:numPr>
          <w:ilvl w:val="0"/>
          <w:numId w:val="1"/>
        </w:numPr>
      </w:pPr>
      <w:r>
        <w:t xml:space="preserve">Link to MEB Technical Note:    </w:t>
      </w:r>
      <w:hyperlink r:id="rId14">
        <w:r w:rsidRPr="7788FFCD">
          <w:rPr>
            <w:rStyle w:val="Hyperlink"/>
          </w:rPr>
          <w:t>http://themimu.info/sites/themimu.info/files/documents/Summary_Myanmar_Minimum_Expenditure_Basket_MEB_Technical_Note_CWG_24Sep2021.docx</w:t>
        </w:r>
      </w:hyperlink>
    </w:p>
    <w:p w14:paraId="2A895AA5" w14:textId="504DA03B" w:rsidR="7788FFCD" w:rsidRDefault="7788FFCD" w:rsidP="7788FFCD"/>
    <w:p w14:paraId="15E32692" w14:textId="37607F0C" w:rsidR="7788FFCD" w:rsidRPr="0073388D" w:rsidRDefault="7788FFCD" w:rsidP="7788FFCD">
      <w:pPr>
        <w:pStyle w:val="ListParagraph"/>
        <w:numPr>
          <w:ilvl w:val="0"/>
          <w:numId w:val="1"/>
        </w:numPr>
        <w:rPr>
          <w:rStyle w:val="Hyperlink"/>
          <w:color w:val="auto"/>
          <w:u w:val="none"/>
        </w:rPr>
      </w:pPr>
      <w:r>
        <w:t xml:space="preserve">Link to MEB Calculation Sheet </w:t>
      </w:r>
      <w:hyperlink r:id="rId15">
        <w:r w:rsidRPr="7788FFCD">
          <w:rPr>
            <w:rStyle w:val="Hyperlink"/>
          </w:rPr>
          <w:t>http://themimu.info/sites/themimu.info/files/documents/Template_Myanmar_Minimum_Expenditure_Basket_MEB_Calculation_CWG_24Sep2021.xlsx</w:t>
        </w:r>
      </w:hyperlink>
    </w:p>
    <w:p w14:paraId="46777871" w14:textId="77777777" w:rsidR="0073388D" w:rsidRDefault="0073388D" w:rsidP="0073388D">
      <w:pPr>
        <w:pStyle w:val="ListParagraph"/>
      </w:pPr>
    </w:p>
    <w:p w14:paraId="4939B8E8" w14:textId="66E9797F" w:rsidR="0073388D" w:rsidRDefault="0073388D" w:rsidP="7788FFCD">
      <w:pPr>
        <w:pStyle w:val="ListParagraph"/>
        <w:numPr>
          <w:ilvl w:val="0"/>
          <w:numId w:val="1"/>
        </w:numPr>
      </w:pPr>
      <w:r>
        <w:t xml:space="preserve">Link to WFP Market Price Monitoring </w:t>
      </w:r>
      <w:proofErr w:type="spellStart"/>
      <w:r>
        <w:t>Dashboad</w:t>
      </w:r>
      <w:proofErr w:type="spellEnd"/>
      <w:r>
        <w:t xml:space="preserve"> </w:t>
      </w:r>
    </w:p>
    <w:p w14:paraId="34EEBF2E" w14:textId="0DBB326D" w:rsidR="0073388D" w:rsidRDefault="00000000" w:rsidP="0073388D">
      <w:pPr>
        <w:pStyle w:val="ListParagraph"/>
      </w:pPr>
      <w:hyperlink r:id="rId16" w:history="1">
        <w:r w:rsidR="004E320A" w:rsidRPr="007B5E74">
          <w:rPr>
            <w:rStyle w:val="Hyperlink"/>
          </w:rPr>
          <w:t>https://analytics.wfp.org/t/Public/views/MarketMonitoringDashboardv2/Overview_?%3AshowAppBanner=false&amp;%3Adisplay_count=n&amp;%3AshowVizHome=n&amp;%3Aorigin=viz_share_link&amp;%3AisGuestRedirectFromVizportal=y&amp;%3Aembed=y</w:t>
        </w:r>
      </w:hyperlink>
    </w:p>
    <w:p w14:paraId="73E6B35F" w14:textId="77777777" w:rsidR="004E320A" w:rsidRDefault="004E320A" w:rsidP="0073388D">
      <w:pPr>
        <w:pStyle w:val="ListParagraph"/>
      </w:pPr>
    </w:p>
    <w:p w14:paraId="2821D4D5" w14:textId="7BB56604" w:rsidR="0073388D" w:rsidRDefault="0073388D" w:rsidP="7788FFCD">
      <w:pPr>
        <w:pStyle w:val="ListParagraph"/>
        <w:numPr>
          <w:ilvl w:val="0"/>
          <w:numId w:val="1"/>
        </w:numPr>
      </w:pPr>
      <w:r>
        <w:t xml:space="preserve">Link to </w:t>
      </w:r>
      <w:r w:rsidR="00076376">
        <w:t xml:space="preserve">Market Analysis Unit Dashboard </w:t>
      </w:r>
    </w:p>
    <w:p w14:paraId="2C831288" w14:textId="75A7D895" w:rsidR="7788FFCD" w:rsidRDefault="00000000" w:rsidP="00C91A4F">
      <w:pPr>
        <w:ind w:firstLine="720"/>
      </w:pPr>
      <w:hyperlink r:id="rId17" w:history="1">
        <w:r w:rsidR="00C91A4F" w:rsidRPr="007B5E74">
          <w:rPr>
            <w:rStyle w:val="Hyperlink"/>
          </w:rPr>
          <w:t>https://themimu.info/market-analysis-unit</w:t>
        </w:r>
      </w:hyperlink>
    </w:p>
    <w:p w14:paraId="015C2190" w14:textId="77777777" w:rsidR="00C91A4F" w:rsidRDefault="00C91A4F" w:rsidP="00C91A4F">
      <w:pPr>
        <w:ind w:firstLine="720"/>
      </w:pPr>
    </w:p>
    <w:p w14:paraId="2A359034" w14:textId="77777777" w:rsidR="00C91A4F" w:rsidRDefault="00C91A4F" w:rsidP="00C91A4F">
      <w:pPr>
        <w:ind w:firstLine="720"/>
      </w:pPr>
    </w:p>
    <w:p w14:paraId="720D30E0" w14:textId="7F18E2C7" w:rsidR="00557658" w:rsidRDefault="00557658">
      <w:pPr>
        <w:rPr>
          <w:b/>
          <w:bCs/>
        </w:rPr>
      </w:pPr>
    </w:p>
    <w:p w14:paraId="76CAE3F6" w14:textId="77777777" w:rsidR="00E24B6E" w:rsidRDefault="00E24B6E">
      <w:pPr>
        <w:rPr>
          <w:b/>
          <w:bCs/>
        </w:rPr>
      </w:pPr>
    </w:p>
    <w:p w14:paraId="4B59602B" w14:textId="77777777" w:rsidR="00E24B6E" w:rsidRDefault="00E24B6E">
      <w:pPr>
        <w:rPr>
          <w:b/>
          <w:bCs/>
        </w:rPr>
      </w:pPr>
    </w:p>
    <w:p w14:paraId="16711B76" w14:textId="77777777" w:rsidR="00E24B6E" w:rsidRDefault="00E24B6E">
      <w:pPr>
        <w:rPr>
          <w:b/>
          <w:bCs/>
        </w:rPr>
      </w:pPr>
    </w:p>
    <w:p w14:paraId="3C86AD7A" w14:textId="77777777" w:rsidR="00E24B6E" w:rsidRDefault="00E24B6E">
      <w:pPr>
        <w:rPr>
          <w:b/>
          <w:bCs/>
        </w:rPr>
      </w:pPr>
    </w:p>
    <w:p w14:paraId="1B04C425" w14:textId="77777777" w:rsidR="00E24B6E" w:rsidRDefault="00E24B6E">
      <w:pPr>
        <w:rPr>
          <w:b/>
          <w:bCs/>
        </w:rPr>
      </w:pPr>
    </w:p>
    <w:p w14:paraId="22199DA2" w14:textId="77777777" w:rsidR="00E24B6E" w:rsidRDefault="00E24B6E">
      <w:pPr>
        <w:rPr>
          <w:b/>
          <w:bCs/>
        </w:rPr>
      </w:pPr>
    </w:p>
    <w:p w14:paraId="4A3E75EF" w14:textId="77777777" w:rsidR="00E24B6E" w:rsidRDefault="00E24B6E">
      <w:pPr>
        <w:rPr>
          <w:b/>
          <w:bCs/>
        </w:rPr>
      </w:pPr>
    </w:p>
    <w:p w14:paraId="65DFDCEC" w14:textId="77777777" w:rsidR="00E24B6E" w:rsidRDefault="00E24B6E">
      <w:pPr>
        <w:rPr>
          <w:b/>
          <w:bCs/>
        </w:rPr>
      </w:pPr>
    </w:p>
    <w:p w14:paraId="0C0318EE" w14:textId="77777777" w:rsidR="00E24B6E" w:rsidRDefault="00E24B6E">
      <w:pPr>
        <w:rPr>
          <w:b/>
          <w:bCs/>
        </w:rPr>
      </w:pPr>
    </w:p>
    <w:p w14:paraId="4754D9C4" w14:textId="77777777" w:rsidR="00E24B6E" w:rsidRDefault="00E24B6E">
      <w:pPr>
        <w:rPr>
          <w:b/>
          <w:bCs/>
        </w:rPr>
      </w:pPr>
    </w:p>
    <w:p w14:paraId="4BD98038" w14:textId="77777777" w:rsidR="00E24B6E" w:rsidRDefault="00E24B6E">
      <w:pPr>
        <w:rPr>
          <w:b/>
          <w:bCs/>
        </w:rPr>
      </w:pPr>
    </w:p>
    <w:p w14:paraId="3936AEE7" w14:textId="77777777" w:rsidR="00E24B6E" w:rsidRDefault="00E24B6E">
      <w:pPr>
        <w:rPr>
          <w:b/>
          <w:bCs/>
        </w:rPr>
      </w:pPr>
    </w:p>
    <w:p w14:paraId="23F53776" w14:textId="77777777" w:rsidR="00E24B6E" w:rsidRDefault="00E24B6E">
      <w:pPr>
        <w:rPr>
          <w:b/>
          <w:bCs/>
        </w:rPr>
      </w:pPr>
    </w:p>
    <w:p w14:paraId="47541050" w14:textId="77777777" w:rsidR="00E24B6E" w:rsidRDefault="00E24B6E">
      <w:pPr>
        <w:rPr>
          <w:b/>
          <w:bCs/>
        </w:rPr>
      </w:pPr>
    </w:p>
    <w:p w14:paraId="25D7C5ED" w14:textId="77777777" w:rsidR="00E24B6E" w:rsidRDefault="00E24B6E">
      <w:pPr>
        <w:rPr>
          <w:b/>
          <w:bCs/>
        </w:rPr>
      </w:pPr>
    </w:p>
    <w:p w14:paraId="23942B17" w14:textId="77777777" w:rsidR="00E24B6E" w:rsidRDefault="00E24B6E">
      <w:pPr>
        <w:rPr>
          <w:b/>
          <w:bCs/>
        </w:rPr>
      </w:pPr>
    </w:p>
    <w:p w14:paraId="41CA40F1" w14:textId="77777777" w:rsidR="00E24B6E" w:rsidRDefault="00E24B6E">
      <w:pPr>
        <w:rPr>
          <w:b/>
          <w:bCs/>
        </w:rPr>
      </w:pPr>
    </w:p>
    <w:p w14:paraId="79C40730" w14:textId="77777777" w:rsidR="00E24B6E" w:rsidRDefault="00E24B6E">
      <w:pPr>
        <w:rPr>
          <w:b/>
          <w:bCs/>
        </w:rPr>
      </w:pPr>
    </w:p>
    <w:p w14:paraId="7ADED377" w14:textId="77777777" w:rsidR="00E24B6E" w:rsidRDefault="00E24B6E">
      <w:pPr>
        <w:rPr>
          <w:b/>
          <w:bCs/>
        </w:rPr>
      </w:pPr>
    </w:p>
    <w:p w14:paraId="6DF79F1B" w14:textId="77777777" w:rsidR="00E24B6E" w:rsidRDefault="00E24B6E">
      <w:pPr>
        <w:rPr>
          <w:b/>
          <w:bCs/>
        </w:rPr>
      </w:pPr>
    </w:p>
    <w:p w14:paraId="139DFB9C" w14:textId="77777777" w:rsidR="00CC16EE" w:rsidRDefault="00CC16EE"/>
    <w:sectPr w:rsidR="00CC16EE" w:rsidSect="001D06B4">
      <w:headerReference w:type="default" r:id="rId1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85EB" w14:textId="77777777" w:rsidR="001A5D7D" w:rsidRDefault="001A5D7D">
      <w:pPr>
        <w:spacing w:line="240" w:lineRule="auto"/>
      </w:pPr>
      <w:r>
        <w:separator/>
      </w:r>
    </w:p>
  </w:endnote>
  <w:endnote w:type="continuationSeparator" w:id="0">
    <w:p w14:paraId="42A78EAB" w14:textId="77777777" w:rsidR="001A5D7D" w:rsidRDefault="001A5D7D">
      <w:pPr>
        <w:spacing w:line="240" w:lineRule="auto"/>
      </w:pPr>
      <w:r>
        <w:continuationSeparator/>
      </w:r>
    </w:p>
  </w:endnote>
  <w:endnote w:type="continuationNotice" w:id="1">
    <w:p w14:paraId="2C0FC4D0" w14:textId="77777777" w:rsidR="001A5D7D" w:rsidRDefault="001A5D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E56" w14:textId="248BF469" w:rsidR="00CC16EE" w:rsidRPr="00E24B6E" w:rsidRDefault="00CC16EE">
    <w:pP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59E4" w14:textId="77777777" w:rsidR="001A5D7D" w:rsidRDefault="001A5D7D">
      <w:pPr>
        <w:spacing w:line="240" w:lineRule="auto"/>
      </w:pPr>
      <w:r>
        <w:separator/>
      </w:r>
    </w:p>
  </w:footnote>
  <w:footnote w:type="continuationSeparator" w:id="0">
    <w:p w14:paraId="46D26A9A" w14:textId="77777777" w:rsidR="001A5D7D" w:rsidRDefault="001A5D7D">
      <w:pPr>
        <w:spacing w:line="240" w:lineRule="auto"/>
      </w:pPr>
      <w:r>
        <w:continuationSeparator/>
      </w:r>
    </w:p>
  </w:footnote>
  <w:footnote w:type="continuationNotice" w:id="1">
    <w:p w14:paraId="5364E024" w14:textId="77777777" w:rsidR="001A5D7D" w:rsidRDefault="001A5D7D">
      <w:pPr>
        <w:spacing w:line="240" w:lineRule="auto"/>
      </w:pPr>
    </w:p>
  </w:footnote>
  <w:footnote w:id="2">
    <w:p w14:paraId="295FDC0E" w14:textId="1BE8657D" w:rsidR="002D2DF5" w:rsidRPr="002D2DF5" w:rsidRDefault="002D2DF5">
      <w:pPr>
        <w:pStyle w:val="FootnoteText"/>
        <w:rPr>
          <w:lang w:val="en-US"/>
        </w:rPr>
      </w:pPr>
      <w:r>
        <w:rPr>
          <w:rStyle w:val="FootnoteReference"/>
        </w:rPr>
        <w:footnoteRef/>
      </w:r>
      <w:r>
        <w:t xml:space="preserve"> Note that the food portion of the MEB utilized a typical diet approach instead of the k/</w:t>
      </w:r>
      <w:proofErr w:type="spellStart"/>
      <w:r>
        <w:t>cal</w:t>
      </w:r>
      <w:proofErr w:type="spellEnd"/>
      <w:r>
        <w:t xml:space="preserve"> approach of the SMEB. The reason for applying a more restricted approach is to focus on energy-only needs which are typically those prioritized </w:t>
      </w:r>
      <w:r w:rsidR="002F5F35">
        <w:t>under the</w:t>
      </w:r>
      <w:r>
        <w:t xml:space="preserve"> core humanitarian standards. As a result, the proposed SMEB food portion is significantly less than the MEB food amount.</w:t>
      </w:r>
    </w:p>
  </w:footnote>
  <w:footnote w:id="3">
    <w:p w14:paraId="5896203B" w14:textId="5F5C715F" w:rsidR="7788FFCD" w:rsidRDefault="7788FFCD" w:rsidP="7788FFCD">
      <w:pPr>
        <w:pStyle w:val="FootnoteText"/>
      </w:pPr>
      <w:r w:rsidRPr="7788FFCD">
        <w:rPr>
          <w:rStyle w:val="FootnoteReference"/>
        </w:rPr>
        <w:footnoteRef/>
      </w:r>
      <w:r>
        <w:t>http://themimu.info/sites/themimu.info/files/documents/Summary_Myanmar_Minimum_Expenditure_Basket_MEB_Technical_Note_CWG_24Sep2021.docx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895"/>
      <w:gridCol w:w="345"/>
      <w:gridCol w:w="3120"/>
    </w:tblGrid>
    <w:tr w:rsidR="7788FFCD" w14:paraId="74835D79" w14:textId="77777777" w:rsidTr="45D77314">
      <w:tc>
        <w:tcPr>
          <w:tcW w:w="5895" w:type="dxa"/>
        </w:tcPr>
        <w:p w14:paraId="05C3F3C6" w14:textId="41A7A384" w:rsidR="7788FFCD" w:rsidRDefault="45D77314" w:rsidP="0D223844">
          <w:pPr>
            <w:pStyle w:val="Header"/>
            <w:ind w:left="-115"/>
            <w:rPr>
              <w:b/>
              <w:bCs/>
              <w:color w:val="1F497D" w:themeColor="text2"/>
              <w:sz w:val="40"/>
              <w:szCs w:val="40"/>
            </w:rPr>
          </w:pPr>
          <w:r w:rsidRPr="45D77314">
            <w:rPr>
              <w:b/>
              <w:bCs/>
              <w:color w:val="1F487C"/>
              <w:sz w:val="28"/>
              <w:szCs w:val="28"/>
            </w:rPr>
            <w:t xml:space="preserve">Myanmar </w:t>
          </w:r>
          <w:r w:rsidR="00456295">
            <w:rPr>
              <w:b/>
              <w:bCs/>
              <w:color w:val="1F487C"/>
              <w:sz w:val="28"/>
              <w:szCs w:val="28"/>
            </w:rPr>
            <w:t>SMEB</w:t>
          </w:r>
        </w:p>
        <w:p w14:paraId="48E28FF2" w14:textId="6A93883E" w:rsidR="7788FFCD" w:rsidRDefault="00C97C47" w:rsidP="0D223844">
          <w:pPr>
            <w:pStyle w:val="Header"/>
            <w:ind w:left="-115"/>
            <w:rPr>
              <w:b/>
              <w:bCs/>
              <w:color w:val="1F497D" w:themeColor="text2"/>
              <w:sz w:val="28"/>
              <w:szCs w:val="28"/>
            </w:rPr>
          </w:pPr>
          <w:r>
            <w:rPr>
              <w:b/>
              <w:bCs/>
              <w:color w:val="1F487C"/>
              <w:sz w:val="28"/>
              <w:szCs w:val="28"/>
            </w:rPr>
            <w:t>J</w:t>
          </w:r>
          <w:r w:rsidR="00516BF4">
            <w:rPr>
              <w:b/>
              <w:bCs/>
              <w:color w:val="1F487C"/>
              <w:sz w:val="28"/>
              <w:szCs w:val="28"/>
            </w:rPr>
            <w:t>une</w:t>
          </w:r>
          <w:r w:rsidR="0D223844" w:rsidRPr="0D223844">
            <w:rPr>
              <w:b/>
              <w:bCs/>
              <w:color w:val="1F487C"/>
              <w:sz w:val="28"/>
              <w:szCs w:val="28"/>
            </w:rPr>
            <w:t xml:space="preserve"> 202</w:t>
          </w:r>
          <w:r>
            <w:rPr>
              <w:b/>
              <w:bCs/>
              <w:color w:val="1F487C"/>
              <w:sz w:val="28"/>
              <w:szCs w:val="28"/>
            </w:rPr>
            <w:t>3</w:t>
          </w:r>
          <w:r w:rsidR="002A7BDC">
            <w:rPr>
              <w:b/>
              <w:bCs/>
              <w:color w:val="1F487C"/>
              <w:sz w:val="28"/>
              <w:szCs w:val="28"/>
            </w:rPr>
            <w:t xml:space="preserve"> Update</w:t>
          </w:r>
        </w:p>
      </w:tc>
      <w:tc>
        <w:tcPr>
          <w:tcW w:w="345" w:type="dxa"/>
        </w:tcPr>
        <w:p w14:paraId="412AB914" w14:textId="76C20AA1" w:rsidR="7788FFCD" w:rsidRDefault="7788FFCD" w:rsidP="7788FFCD">
          <w:pPr>
            <w:pStyle w:val="Header"/>
            <w:jc w:val="center"/>
          </w:pPr>
        </w:p>
      </w:tc>
      <w:tc>
        <w:tcPr>
          <w:tcW w:w="3120" w:type="dxa"/>
        </w:tcPr>
        <w:p w14:paraId="7C4E4677" w14:textId="12418E03" w:rsidR="7788FFCD" w:rsidRDefault="7788FFCD" w:rsidP="7788FFCD">
          <w:pPr>
            <w:pStyle w:val="Header"/>
            <w:ind w:right="-115"/>
            <w:jc w:val="right"/>
          </w:pPr>
          <w:r>
            <w:rPr>
              <w:noProof/>
            </w:rPr>
            <w:drawing>
              <wp:inline distT="0" distB="0" distL="0" distR="0" wp14:anchorId="05270869" wp14:editId="4CC47E8C">
                <wp:extent cx="183832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666750"/>
                        </a:xfrm>
                        <a:prstGeom prst="rect">
                          <a:avLst/>
                        </a:prstGeom>
                      </pic:spPr>
                    </pic:pic>
                  </a:graphicData>
                </a:graphic>
              </wp:inline>
            </w:drawing>
          </w:r>
        </w:p>
      </w:tc>
    </w:tr>
  </w:tbl>
  <w:p w14:paraId="4467CDEC" w14:textId="5D6E2938" w:rsidR="7788FFCD" w:rsidRDefault="7788FFCD" w:rsidP="7788F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60" w:type="dxa"/>
      <w:tblLayout w:type="fixed"/>
      <w:tblLook w:val="06A0" w:firstRow="1" w:lastRow="0" w:firstColumn="1" w:lastColumn="0" w:noHBand="1" w:noVBand="1"/>
    </w:tblPr>
    <w:tblGrid>
      <w:gridCol w:w="8040"/>
      <w:gridCol w:w="600"/>
      <w:gridCol w:w="4320"/>
    </w:tblGrid>
    <w:tr w:rsidR="7788FFCD" w14:paraId="3E5F6327" w14:textId="77777777" w:rsidTr="45D77314">
      <w:tc>
        <w:tcPr>
          <w:tcW w:w="8040" w:type="dxa"/>
        </w:tcPr>
        <w:p w14:paraId="285B2745" w14:textId="580F75F3" w:rsidR="6F7EC9E3" w:rsidRDefault="45D77314" w:rsidP="00F24D04">
          <w:pPr>
            <w:pStyle w:val="Header"/>
            <w:ind w:left="-115"/>
            <w:rPr>
              <w:b/>
              <w:bCs/>
              <w:color w:val="1F487C"/>
              <w:sz w:val="28"/>
              <w:szCs w:val="28"/>
            </w:rPr>
          </w:pPr>
          <w:r w:rsidRPr="45D77314">
            <w:rPr>
              <w:b/>
              <w:bCs/>
              <w:color w:val="1F487C"/>
              <w:sz w:val="28"/>
              <w:szCs w:val="28"/>
            </w:rPr>
            <w:t>Myanmar Survival Minimum Expenditure Basket</w:t>
          </w:r>
          <w:r w:rsidRPr="45D77314">
            <w:rPr>
              <w:b/>
              <w:bCs/>
              <w:color w:val="1F487C"/>
              <w:sz w:val="40"/>
              <w:szCs w:val="40"/>
            </w:rPr>
            <w:t xml:space="preserve"> </w:t>
          </w:r>
          <w:r w:rsidR="6F7EC9E3" w:rsidRPr="6F7EC9E3">
            <w:rPr>
              <w:b/>
              <w:bCs/>
              <w:color w:val="1F487C"/>
              <w:sz w:val="28"/>
              <w:szCs w:val="28"/>
            </w:rPr>
            <w:t>(SMEB)</w:t>
          </w:r>
        </w:p>
        <w:p w14:paraId="55A97652" w14:textId="539ED353" w:rsidR="6F7EC9E3" w:rsidRDefault="00F24D04" w:rsidP="6F7EC9E3">
          <w:pPr>
            <w:pStyle w:val="Header"/>
            <w:ind w:left="-115"/>
            <w:rPr>
              <w:b/>
              <w:bCs/>
              <w:color w:val="1F487C"/>
              <w:sz w:val="28"/>
              <w:szCs w:val="28"/>
            </w:rPr>
          </w:pPr>
          <w:r>
            <w:rPr>
              <w:b/>
              <w:bCs/>
              <w:color w:val="1F487C"/>
              <w:sz w:val="28"/>
              <w:szCs w:val="28"/>
            </w:rPr>
            <w:t>J</w:t>
          </w:r>
          <w:r w:rsidR="002C0EC7">
            <w:rPr>
              <w:b/>
              <w:bCs/>
              <w:color w:val="1F487C"/>
              <w:sz w:val="28"/>
              <w:szCs w:val="28"/>
            </w:rPr>
            <w:t>une</w:t>
          </w:r>
          <w:r>
            <w:rPr>
              <w:b/>
              <w:bCs/>
              <w:color w:val="1F487C"/>
              <w:sz w:val="28"/>
              <w:szCs w:val="28"/>
            </w:rPr>
            <w:t xml:space="preserve"> 2023</w:t>
          </w:r>
          <w:r w:rsidR="00B36933">
            <w:rPr>
              <w:b/>
              <w:bCs/>
              <w:color w:val="1F487C"/>
              <w:sz w:val="28"/>
              <w:szCs w:val="28"/>
            </w:rPr>
            <w:t xml:space="preserve"> Update</w:t>
          </w:r>
        </w:p>
      </w:tc>
      <w:tc>
        <w:tcPr>
          <w:tcW w:w="600" w:type="dxa"/>
        </w:tcPr>
        <w:p w14:paraId="64FDB369" w14:textId="76C20AA1" w:rsidR="6F7EC9E3" w:rsidRDefault="6F7EC9E3" w:rsidP="6F7EC9E3">
          <w:pPr>
            <w:pStyle w:val="Header"/>
            <w:jc w:val="center"/>
          </w:pPr>
        </w:p>
      </w:tc>
      <w:tc>
        <w:tcPr>
          <w:tcW w:w="4320" w:type="dxa"/>
        </w:tcPr>
        <w:p w14:paraId="061EE384" w14:textId="12418E03" w:rsidR="6F7EC9E3" w:rsidRDefault="6F7EC9E3" w:rsidP="6F7EC9E3">
          <w:pPr>
            <w:pStyle w:val="Header"/>
            <w:ind w:right="-115"/>
            <w:jc w:val="right"/>
          </w:pPr>
          <w:r>
            <w:rPr>
              <w:noProof/>
            </w:rPr>
            <w:drawing>
              <wp:inline distT="0" distB="0" distL="0" distR="0" wp14:anchorId="469D538D" wp14:editId="1FC989DF">
                <wp:extent cx="1838325" cy="666750"/>
                <wp:effectExtent l="0" t="0" r="0" b="0"/>
                <wp:docPr id="2138226303" name="Picture 2138226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666750"/>
                        </a:xfrm>
                        <a:prstGeom prst="rect">
                          <a:avLst/>
                        </a:prstGeom>
                      </pic:spPr>
                    </pic:pic>
                  </a:graphicData>
                </a:graphic>
              </wp:inline>
            </w:drawing>
          </w:r>
        </w:p>
      </w:tc>
    </w:tr>
  </w:tbl>
  <w:p w14:paraId="561A5059" w14:textId="20B3CA27" w:rsidR="7788FFCD" w:rsidRDefault="7788FFCD" w:rsidP="7788F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30" w:type="dxa"/>
      <w:tblLayout w:type="fixed"/>
      <w:tblLook w:val="06A0" w:firstRow="1" w:lastRow="0" w:firstColumn="1" w:lastColumn="0" w:noHBand="1" w:noVBand="1"/>
    </w:tblPr>
    <w:tblGrid>
      <w:gridCol w:w="5865"/>
      <w:gridCol w:w="345"/>
      <w:gridCol w:w="3120"/>
    </w:tblGrid>
    <w:tr w:rsidR="7788FFCD" w14:paraId="41E4E893" w14:textId="77777777" w:rsidTr="45D77314">
      <w:tc>
        <w:tcPr>
          <w:tcW w:w="5865" w:type="dxa"/>
        </w:tcPr>
        <w:p w14:paraId="770636DD" w14:textId="0FB71039" w:rsidR="6F7EC9E3" w:rsidRDefault="45D77314" w:rsidP="6F7EC9E3">
          <w:pPr>
            <w:pStyle w:val="Header"/>
            <w:ind w:left="-115"/>
            <w:rPr>
              <w:b/>
              <w:bCs/>
              <w:color w:val="1F487C"/>
              <w:sz w:val="28"/>
              <w:szCs w:val="28"/>
            </w:rPr>
          </w:pPr>
          <w:r w:rsidRPr="45D77314">
            <w:rPr>
              <w:b/>
              <w:bCs/>
              <w:color w:val="1F487C"/>
              <w:sz w:val="28"/>
              <w:szCs w:val="28"/>
            </w:rPr>
            <w:t xml:space="preserve">Myanmar </w:t>
          </w:r>
          <w:r w:rsidR="00456295">
            <w:rPr>
              <w:b/>
              <w:bCs/>
              <w:color w:val="1F487C"/>
              <w:sz w:val="28"/>
              <w:szCs w:val="28"/>
            </w:rPr>
            <w:t>SMEB</w:t>
          </w:r>
        </w:p>
        <w:p w14:paraId="4C9D8F95" w14:textId="034691B8" w:rsidR="6F7EC9E3" w:rsidRDefault="00915030" w:rsidP="6F7EC9E3">
          <w:pPr>
            <w:pStyle w:val="Header"/>
            <w:ind w:left="-115"/>
            <w:rPr>
              <w:b/>
              <w:bCs/>
              <w:color w:val="1F487C"/>
              <w:sz w:val="28"/>
              <w:szCs w:val="28"/>
            </w:rPr>
          </w:pPr>
          <w:r>
            <w:rPr>
              <w:b/>
              <w:bCs/>
              <w:color w:val="1F487C"/>
              <w:sz w:val="28"/>
              <w:szCs w:val="28"/>
            </w:rPr>
            <w:t>June</w:t>
          </w:r>
          <w:r w:rsidR="00456295">
            <w:rPr>
              <w:b/>
              <w:bCs/>
              <w:color w:val="1F487C"/>
              <w:sz w:val="28"/>
              <w:szCs w:val="28"/>
            </w:rPr>
            <w:t xml:space="preserve"> 2023 Update</w:t>
          </w:r>
        </w:p>
      </w:tc>
      <w:tc>
        <w:tcPr>
          <w:tcW w:w="345" w:type="dxa"/>
        </w:tcPr>
        <w:p w14:paraId="108CA38E" w14:textId="76C20AA1" w:rsidR="6F7EC9E3" w:rsidRDefault="6F7EC9E3" w:rsidP="6F7EC9E3">
          <w:pPr>
            <w:pStyle w:val="Header"/>
            <w:jc w:val="center"/>
          </w:pPr>
        </w:p>
      </w:tc>
      <w:tc>
        <w:tcPr>
          <w:tcW w:w="3120" w:type="dxa"/>
        </w:tcPr>
        <w:p w14:paraId="75CE3550" w14:textId="12418E03" w:rsidR="6F7EC9E3" w:rsidRDefault="6F7EC9E3" w:rsidP="6F7EC9E3">
          <w:pPr>
            <w:pStyle w:val="Header"/>
            <w:ind w:right="-115"/>
            <w:jc w:val="right"/>
          </w:pPr>
          <w:r>
            <w:rPr>
              <w:noProof/>
            </w:rPr>
            <w:drawing>
              <wp:inline distT="0" distB="0" distL="0" distR="0" wp14:anchorId="2510686F" wp14:editId="7D6CB8F3">
                <wp:extent cx="1838325" cy="666750"/>
                <wp:effectExtent l="0" t="0" r="0" b="0"/>
                <wp:docPr id="1822452060" name="Picture 182245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666750"/>
                        </a:xfrm>
                        <a:prstGeom prst="rect">
                          <a:avLst/>
                        </a:prstGeom>
                      </pic:spPr>
                    </pic:pic>
                  </a:graphicData>
                </a:graphic>
              </wp:inline>
            </w:drawing>
          </w:r>
        </w:p>
      </w:tc>
    </w:tr>
  </w:tbl>
  <w:p w14:paraId="33CD1926" w14:textId="064ECCC5" w:rsidR="7788FFCD" w:rsidRDefault="7788FFCD" w:rsidP="7788F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109"/>
    <w:multiLevelType w:val="multilevel"/>
    <w:tmpl w:val="A78E9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F161E"/>
    <w:multiLevelType w:val="multilevel"/>
    <w:tmpl w:val="44F6F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930061"/>
    <w:multiLevelType w:val="multilevel"/>
    <w:tmpl w:val="877A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97F62A"/>
    <w:multiLevelType w:val="hybridMultilevel"/>
    <w:tmpl w:val="D430DCE8"/>
    <w:lvl w:ilvl="0" w:tplc="516E5B6A">
      <w:start w:val="1"/>
      <w:numFmt w:val="decimal"/>
      <w:lvlText w:val="%1."/>
      <w:lvlJc w:val="left"/>
      <w:pPr>
        <w:ind w:left="720" w:hanging="360"/>
      </w:pPr>
    </w:lvl>
    <w:lvl w:ilvl="1" w:tplc="64709A2E">
      <w:start w:val="1"/>
      <w:numFmt w:val="lowerLetter"/>
      <w:lvlText w:val="%2."/>
      <w:lvlJc w:val="left"/>
      <w:pPr>
        <w:ind w:left="1440" w:hanging="360"/>
      </w:pPr>
    </w:lvl>
    <w:lvl w:ilvl="2" w:tplc="5C021048">
      <w:start w:val="1"/>
      <w:numFmt w:val="lowerRoman"/>
      <w:lvlText w:val="%3."/>
      <w:lvlJc w:val="right"/>
      <w:pPr>
        <w:ind w:left="2160" w:hanging="180"/>
      </w:pPr>
    </w:lvl>
    <w:lvl w:ilvl="3" w:tplc="0F3858F8">
      <w:start w:val="1"/>
      <w:numFmt w:val="decimal"/>
      <w:lvlText w:val="%4."/>
      <w:lvlJc w:val="left"/>
      <w:pPr>
        <w:ind w:left="2880" w:hanging="360"/>
      </w:pPr>
    </w:lvl>
    <w:lvl w:ilvl="4" w:tplc="B784EDCC">
      <w:start w:val="1"/>
      <w:numFmt w:val="lowerLetter"/>
      <w:lvlText w:val="%5."/>
      <w:lvlJc w:val="left"/>
      <w:pPr>
        <w:ind w:left="3600" w:hanging="360"/>
      </w:pPr>
    </w:lvl>
    <w:lvl w:ilvl="5" w:tplc="2D600CF0">
      <w:start w:val="1"/>
      <w:numFmt w:val="lowerRoman"/>
      <w:lvlText w:val="%6."/>
      <w:lvlJc w:val="right"/>
      <w:pPr>
        <w:ind w:left="4320" w:hanging="180"/>
      </w:pPr>
    </w:lvl>
    <w:lvl w:ilvl="6" w:tplc="CE9A77CA">
      <w:start w:val="1"/>
      <w:numFmt w:val="decimal"/>
      <w:lvlText w:val="%7."/>
      <w:lvlJc w:val="left"/>
      <w:pPr>
        <w:ind w:left="5040" w:hanging="360"/>
      </w:pPr>
    </w:lvl>
    <w:lvl w:ilvl="7" w:tplc="EEC206F6">
      <w:start w:val="1"/>
      <w:numFmt w:val="lowerLetter"/>
      <w:lvlText w:val="%8."/>
      <w:lvlJc w:val="left"/>
      <w:pPr>
        <w:ind w:left="5760" w:hanging="360"/>
      </w:pPr>
    </w:lvl>
    <w:lvl w:ilvl="8" w:tplc="68FE780A">
      <w:start w:val="1"/>
      <w:numFmt w:val="lowerRoman"/>
      <w:lvlText w:val="%9."/>
      <w:lvlJc w:val="right"/>
      <w:pPr>
        <w:ind w:left="6480" w:hanging="180"/>
      </w:pPr>
    </w:lvl>
  </w:abstractNum>
  <w:abstractNum w:abstractNumId="4" w15:restartNumberingAfterBreak="0">
    <w:nsid w:val="2B45340C"/>
    <w:multiLevelType w:val="multilevel"/>
    <w:tmpl w:val="ECE6B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AE7C83"/>
    <w:multiLevelType w:val="multilevel"/>
    <w:tmpl w:val="068C9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716614"/>
    <w:multiLevelType w:val="hybridMultilevel"/>
    <w:tmpl w:val="99469112"/>
    <w:lvl w:ilvl="0" w:tplc="DBC6D444">
      <w:start w:val="1"/>
      <w:numFmt w:val="decimal"/>
      <w:lvlText w:val="%1."/>
      <w:lvlJc w:val="left"/>
      <w:pPr>
        <w:ind w:left="720" w:hanging="360"/>
      </w:pPr>
    </w:lvl>
    <w:lvl w:ilvl="1" w:tplc="D3F049AE">
      <w:start w:val="1"/>
      <w:numFmt w:val="lowerLetter"/>
      <w:lvlText w:val="%2."/>
      <w:lvlJc w:val="left"/>
      <w:pPr>
        <w:ind w:left="1440" w:hanging="360"/>
      </w:pPr>
    </w:lvl>
    <w:lvl w:ilvl="2" w:tplc="2E721634">
      <w:start w:val="1"/>
      <w:numFmt w:val="lowerRoman"/>
      <w:lvlText w:val="%3."/>
      <w:lvlJc w:val="right"/>
      <w:pPr>
        <w:ind w:left="2160" w:hanging="180"/>
      </w:pPr>
    </w:lvl>
    <w:lvl w:ilvl="3" w:tplc="27461018">
      <w:start w:val="1"/>
      <w:numFmt w:val="decimal"/>
      <w:lvlText w:val="%4."/>
      <w:lvlJc w:val="left"/>
      <w:pPr>
        <w:ind w:left="2880" w:hanging="360"/>
      </w:pPr>
    </w:lvl>
    <w:lvl w:ilvl="4" w:tplc="D994BB68">
      <w:start w:val="1"/>
      <w:numFmt w:val="lowerLetter"/>
      <w:lvlText w:val="%5."/>
      <w:lvlJc w:val="left"/>
      <w:pPr>
        <w:ind w:left="3600" w:hanging="360"/>
      </w:pPr>
    </w:lvl>
    <w:lvl w:ilvl="5" w:tplc="3E7C9404">
      <w:start w:val="1"/>
      <w:numFmt w:val="lowerRoman"/>
      <w:lvlText w:val="%6."/>
      <w:lvlJc w:val="right"/>
      <w:pPr>
        <w:ind w:left="4320" w:hanging="180"/>
      </w:pPr>
    </w:lvl>
    <w:lvl w:ilvl="6" w:tplc="CA98BBD0">
      <w:start w:val="1"/>
      <w:numFmt w:val="decimal"/>
      <w:lvlText w:val="%7."/>
      <w:lvlJc w:val="left"/>
      <w:pPr>
        <w:ind w:left="5040" w:hanging="360"/>
      </w:pPr>
    </w:lvl>
    <w:lvl w:ilvl="7" w:tplc="CEDEA462">
      <w:start w:val="1"/>
      <w:numFmt w:val="lowerLetter"/>
      <w:lvlText w:val="%8."/>
      <w:lvlJc w:val="left"/>
      <w:pPr>
        <w:ind w:left="5760" w:hanging="360"/>
      </w:pPr>
    </w:lvl>
    <w:lvl w:ilvl="8" w:tplc="ED02047A">
      <w:start w:val="1"/>
      <w:numFmt w:val="lowerRoman"/>
      <w:lvlText w:val="%9."/>
      <w:lvlJc w:val="right"/>
      <w:pPr>
        <w:ind w:left="6480" w:hanging="180"/>
      </w:pPr>
    </w:lvl>
  </w:abstractNum>
  <w:abstractNum w:abstractNumId="7" w15:restartNumberingAfterBreak="0">
    <w:nsid w:val="4D0DFF24"/>
    <w:multiLevelType w:val="hybridMultilevel"/>
    <w:tmpl w:val="8E969778"/>
    <w:lvl w:ilvl="0" w:tplc="6EBC8A8E">
      <w:start w:val="1"/>
      <w:numFmt w:val="bullet"/>
      <w:lvlText w:val=""/>
      <w:lvlJc w:val="left"/>
      <w:pPr>
        <w:ind w:left="720" w:hanging="360"/>
      </w:pPr>
      <w:rPr>
        <w:rFonts w:ascii="Symbol" w:hAnsi="Symbol" w:hint="default"/>
      </w:rPr>
    </w:lvl>
    <w:lvl w:ilvl="1" w:tplc="06D0D4F0">
      <w:start w:val="1"/>
      <w:numFmt w:val="bullet"/>
      <w:lvlText w:val="o"/>
      <w:lvlJc w:val="left"/>
      <w:pPr>
        <w:ind w:left="1440" w:hanging="360"/>
      </w:pPr>
      <w:rPr>
        <w:rFonts w:ascii="Courier New" w:hAnsi="Courier New" w:hint="default"/>
      </w:rPr>
    </w:lvl>
    <w:lvl w:ilvl="2" w:tplc="812CDE20">
      <w:start w:val="1"/>
      <w:numFmt w:val="bullet"/>
      <w:lvlText w:val=""/>
      <w:lvlJc w:val="left"/>
      <w:pPr>
        <w:ind w:left="2160" w:hanging="360"/>
      </w:pPr>
      <w:rPr>
        <w:rFonts w:ascii="Wingdings" w:hAnsi="Wingdings" w:hint="default"/>
      </w:rPr>
    </w:lvl>
    <w:lvl w:ilvl="3" w:tplc="F7507F8A">
      <w:start w:val="1"/>
      <w:numFmt w:val="bullet"/>
      <w:lvlText w:val=""/>
      <w:lvlJc w:val="left"/>
      <w:pPr>
        <w:ind w:left="2880" w:hanging="360"/>
      </w:pPr>
      <w:rPr>
        <w:rFonts w:ascii="Symbol" w:hAnsi="Symbol" w:hint="default"/>
      </w:rPr>
    </w:lvl>
    <w:lvl w:ilvl="4" w:tplc="676C008E">
      <w:start w:val="1"/>
      <w:numFmt w:val="bullet"/>
      <w:lvlText w:val="o"/>
      <w:lvlJc w:val="left"/>
      <w:pPr>
        <w:ind w:left="3600" w:hanging="360"/>
      </w:pPr>
      <w:rPr>
        <w:rFonts w:ascii="Courier New" w:hAnsi="Courier New" w:hint="default"/>
      </w:rPr>
    </w:lvl>
    <w:lvl w:ilvl="5" w:tplc="83585E4E">
      <w:start w:val="1"/>
      <w:numFmt w:val="bullet"/>
      <w:lvlText w:val=""/>
      <w:lvlJc w:val="left"/>
      <w:pPr>
        <w:ind w:left="4320" w:hanging="360"/>
      </w:pPr>
      <w:rPr>
        <w:rFonts w:ascii="Wingdings" w:hAnsi="Wingdings" w:hint="default"/>
      </w:rPr>
    </w:lvl>
    <w:lvl w:ilvl="6" w:tplc="37029892">
      <w:start w:val="1"/>
      <w:numFmt w:val="bullet"/>
      <w:lvlText w:val=""/>
      <w:lvlJc w:val="left"/>
      <w:pPr>
        <w:ind w:left="5040" w:hanging="360"/>
      </w:pPr>
      <w:rPr>
        <w:rFonts w:ascii="Symbol" w:hAnsi="Symbol" w:hint="default"/>
      </w:rPr>
    </w:lvl>
    <w:lvl w:ilvl="7" w:tplc="C706B0DA">
      <w:start w:val="1"/>
      <w:numFmt w:val="bullet"/>
      <w:lvlText w:val="o"/>
      <w:lvlJc w:val="left"/>
      <w:pPr>
        <w:ind w:left="5760" w:hanging="360"/>
      </w:pPr>
      <w:rPr>
        <w:rFonts w:ascii="Courier New" w:hAnsi="Courier New" w:hint="default"/>
      </w:rPr>
    </w:lvl>
    <w:lvl w:ilvl="8" w:tplc="0F6AA9B8">
      <w:start w:val="1"/>
      <w:numFmt w:val="bullet"/>
      <w:lvlText w:val=""/>
      <w:lvlJc w:val="left"/>
      <w:pPr>
        <w:ind w:left="6480" w:hanging="360"/>
      </w:pPr>
      <w:rPr>
        <w:rFonts w:ascii="Wingdings" w:hAnsi="Wingdings" w:hint="default"/>
      </w:rPr>
    </w:lvl>
  </w:abstractNum>
  <w:abstractNum w:abstractNumId="8" w15:restartNumberingAfterBreak="0">
    <w:nsid w:val="4DC24867"/>
    <w:multiLevelType w:val="multilevel"/>
    <w:tmpl w:val="B1E65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8A1806"/>
    <w:multiLevelType w:val="multilevel"/>
    <w:tmpl w:val="C54C7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F24B07"/>
    <w:multiLevelType w:val="hybridMultilevel"/>
    <w:tmpl w:val="277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D27AD"/>
    <w:multiLevelType w:val="multilevel"/>
    <w:tmpl w:val="AA588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D67C87"/>
    <w:multiLevelType w:val="multilevel"/>
    <w:tmpl w:val="5028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535A6C"/>
    <w:multiLevelType w:val="multilevel"/>
    <w:tmpl w:val="4336C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4882329">
    <w:abstractNumId w:val="7"/>
  </w:num>
  <w:num w:numId="2" w16cid:durableId="2104643169">
    <w:abstractNumId w:val="6"/>
  </w:num>
  <w:num w:numId="3" w16cid:durableId="1243103735">
    <w:abstractNumId w:val="3"/>
  </w:num>
  <w:num w:numId="4" w16cid:durableId="1634405733">
    <w:abstractNumId w:val="13"/>
  </w:num>
  <w:num w:numId="5" w16cid:durableId="1857109888">
    <w:abstractNumId w:val="4"/>
  </w:num>
  <w:num w:numId="6" w16cid:durableId="1102070206">
    <w:abstractNumId w:val="11"/>
  </w:num>
  <w:num w:numId="7" w16cid:durableId="1050304428">
    <w:abstractNumId w:val="1"/>
  </w:num>
  <w:num w:numId="8" w16cid:durableId="3635784">
    <w:abstractNumId w:val="5"/>
  </w:num>
  <w:num w:numId="9" w16cid:durableId="162673492">
    <w:abstractNumId w:val="8"/>
  </w:num>
  <w:num w:numId="10" w16cid:durableId="10421434">
    <w:abstractNumId w:val="2"/>
  </w:num>
  <w:num w:numId="11" w16cid:durableId="1053574952">
    <w:abstractNumId w:val="0"/>
  </w:num>
  <w:num w:numId="12" w16cid:durableId="721946846">
    <w:abstractNumId w:val="12"/>
  </w:num>
  <w:num w:numId="13" w16cid:durableId="1134641292">
    <w:abstractNumId w:val="9"/>
  </w:num>
  <w:num w:numId="14" w16cid:durableId="12693101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EE"/>
    <w:rsid w:val="00001FF8"/>
    <w:rsid w:val="000034D7"/>
    <w:rsid w:val="00004DCF"/>
    <w:rsid w:val="00006C55"/>
    <w:rsid w:val="0001504B"/>
    <w:rsid w:val="00023F67"/>
    <w:rsid w:val="00026100"/>
    <w:rsid w:val="0003558A"/>
    <w:rsid w:val="00035AE0"/>
    <w:rsid w:val="00037C75"/>
    <w:rsid w:val="00062F78"/>
    <w:rsid w:val="00076376"/>
    <w:rsid w:val="00091304"/>
    <w:rsid w:val="000A0498"/>
    <w:rsid w:val="000C2397"/>
    <w:rsid w:val="000D2540"/>
    <w:rsid w:val="000E510A"/>
    <w:rsid w:val="000F600F"/>
    <w:rsid w:val="00100F30"/>
    <w:rsid w:val="001033F4"/>
    <w:rsid w:val="00110CC0"/>
    <w:rsid w:val="00131324"/>
    <w:rsid w:val="00163346"/>
    <w:rsid w:val="0016435E"/>
    <w:rsid w:val="00164EBA"/>
    <w:rsid w:val="001661E9"/>
    <w:rsid w:val="001A5D7D"/>
    <w:rsid w:val="001C2452"/>
    <w:rsid w:val="001C773C"/>
    <w:rsid w:val="001D06B4"/>
    <w:rsid w:val="001E7EA0"/>
    <w:rsid w:val="001F324C"/>
    <w:rsid w:val="001F4518"/>
    <w:rsid w:val="00201F09"/>
    <w:rsid w:val="00214875"/>
    <w:rsid w:val="00224730"/>
    <w:rsid w:val="00226047"/>
    <w:rsid w:val="00226543"/>
    <w:rsid w:val="00236B4E"/>
    <w:rsid w:val="0024134B"/>
    <w:rsid w:val="00245408"/>
    <w:rsid w:val="00266175"/>
    <w:rsid w:val="00267ECC"/>
    <w:rsid w:val="00271D2D"/>
    <w:rsid w:val="00290DB5"/>
    <w:rsid w:val="002A7099"/>
    <w:rsid w:val="002A7BDC"/>
    <w:rsid w:val="002C0EC7"/>
    <w:rsid w:val="002D2DF5"/>
    <w:rsid w:val="002F3ECC"/>
    <w:rsid w:val="002F5F35"/>
    <w:rsid w:val="002F6FA7"/>
    <w:rsid w:val="00301966"/>
    <w:rsid w:val="00306A53"/>
    <w:rsid w:val="00311E46"/>
    <w:rsid w:val="003309CF"/>
    <w:rsid w:val="003372F3"/>
    <w:rsid w:val="00350D1D"/>
    <w:rsid w:val="00374430"/>
    <w:rsid w:val="0039173E"/>
    <w:rsid w:val="003B5381"/>
    <w:rsid w:val="003C0DFF"/>
    <w:rsid w:val="003E6A68"/>
    <w:rsid w:val="003F75B6"/>
    <w:rsid w:val="004035FB"/>
    <w:rsid w:val="00412FE6"/>
    <w:rsid w:val="00424E41"/>
    <w:rsid w:val="00425B40"/>
    <w:rsid w:val="00453932"/>
    <w:rsid w:val="00456295"/>
    <w:rsid w:val="00462D73"/>
    <w:rsid w:val="00476D43"/>
    <w:rsid w:val="00487FC5"/>
    <w:rsid w:val="004C6B89"/>
    <w:rsid w:val="004E320A"/>
    <w:rsid w:val="004F2CA6"/>
    <w:rsid w:val="004F46A4"/>
    <w:rsid w:val="00500BC2"/>
    <w:rsid w:val="005015D3"/>
    <w:rsid w:val="00501D8D"/>
    <w:rsid w:val="00511D1F"/>
    <w:rsid w:val="0051289D"/>
    <w:rsid w:val="00513CAD"/>
    <w:rsid w:val="00516BF4"/>
    <w:rsid w:val="005177CA"/>
    <w:rsid w:val="005416F9"/>
    <w:rsid w:val="0055298E"/>
    <w:rsid w:val="00557658"/>
    <w:rsid w:val="00563B01"/>
    <w:rsid w:val="005709EF"/>
    <w:rsid w:val="00577061"/>
    <w:rsid w:val="005914E1"/>
    <w:rsid w:val="00594BFA"/>
    <w:rsid w:val="005A28AB"/>
    <w:rsid w:val="005A3408"/>
    <w:rsid w:val="005A42B5"/>
    <w:rsid w:val="005C016B"/>
    <w:rsid w:val="005C0F4D"/>
    <w:rsid w:val="005D4A16"/>
    <w:rsid w:val="005D4A56"/>
    <w:rsid w:val="00650539"/>
    <w:rsid w:val="00661672"/>
    <w:rsid w:val="0066337C"/>
    <w:rsid w:val="00665A21"/>
    <w:rsid w:val="00685984"/>
    <w:rsid w:val="00694E77"/>
    <w:rsid w:val="006A3EAD"/>
    <w:rsid w:val="006B2BCF"/>
    <w:rsid w:val="006B6FEB"/>
    <w:rsid w:val="006C3131"/>
    <w:rsid w:val="006C561F"/>
    <w:rsid w:val="006D1C77"/>
    <w:rsid w:val="006E21B4"/>
    <w:rsid w:val="006F0DFF"/>
    <w:rsid w:val="006F1EB2"/>
    <w:rsid w:val="006F5D6B"/>
    <w:rsid w:val="00731B67"/>
    <w:rsid w:val="00732E54"/>
    <w:rsid w:val="0073388D"/>
    <w:rsid w:val="00733959"/>
    <w:rsid w:val="00734665"/>
    <w:rsid w:val="0075230E"/>
    <w:rsid w:val="0078360A"/>
    <w:rsid w:val="00785E04"/>
    <w:rsid w:val="00797616"/>
    <w:rsid w:val="007B0785"/>
    <w:rsid w:val="007D48BB"/>
    <w:rsid w:val="007D7F89"/>
    <w:rsid w:val="007E2EFF"/>
    <w:rsid w:val="007F25BE"/>
    <w:rsid w:val="007F30A9"/>
    <w:rsid w:val="007F4388"/>
    <w:rsid w:val="00813BA4"/>
    <w:rsid w:val="008268C0"/>
    <w:rsid w:val="00832E68"/>
    <w:rsid w:val="00834A90"/>
    <w:rsid w:val="008351B5"/>
    <w:rsid w:val="00843622"/>
    <w:rsid w:val="0086367B"/>
    <w:rsid w:val="008678D8"/>
    <w:rsid w:val="0087444A"/>
    <w:rsid w:val="008825CA"/>
    <w:rsid w:val="00885F43"/>
    <w:rsid w:val="00897AB5"/>
    <w:rsid w:val="008D546A"/>
    <w:rsid w:val="008D60A7"/>
    <w:rsid w:val="008E75EF"/>
    <w:rsid w:val="008F4DDB"/>
    <w:rsid w:val="0090003C"/>
    <w:rsid w:val="00915030"/>
    <w:rsid w:val="0092152A"/>
    <w:rsid w:val="009359A8"/>
    <w:rsid w:val="00936DB3"/>
    <w:rsid w:val="00944BBA"/>
    <w:rsid w:val="009507E6"/>
    <w:rsid w:val="00957404"/>
    <w:rsid w:val="009723A5"/>
    <w:rsid w:val="009723CB"/>
    <w:rsid w:val="00973624"/>
    <w:rsid w:val="009967C0"/>
    <w:rsid w:val="009B2EBE"/>
    <w:rsid w:val="009D43CD"/>
    <w:rsid w:val="00A14BC2"/>
    <w:rsid w:val="00A23546"/>
    <w:rsid w:val="00A31B50"/>
    <w:rsid w:val="00A41F73"/>
    <w:rsid w:val="00A44BE2"/>
    <w:rsid w:val="00A57E4F"/>
    <w:rsid w:val="00A63A62"/>
    <w:rsid w:val="00A673F4"/>
    <w:rsid w:val="00A74EF7"/>
    <w:rsid w:val="00A8055B"/>
    <w:rsid w:val="00A80A1B"/>
    <w:rsid w:val="00A95A28"/>
    <w:rsid w:val="00AB7A52"/>
    <w:rsid w:val="00AE06BE"/>
    <w:rsid w:val="00AE4291"/>
    <w:rsid w:val="00B25242"/>
    <w:rsid w:val="00B36933"/>
    <w:rsid w:val="00B36E0F"/>
    <w:rsid w:val="00B45749"/>
    <w:rsid w:val="00BB2B35"/>
    <w:rsid w:val="00BB6B68"/>
    <w:rsid w:val="00BC12B9"/>
    <w:rsid w:val="00BD1013"/>
    <w:rsid w:val="00BD65D7"/>
    <w:rsid w:val="00BE59E2"/>
    <w:rsid w:val="00C04745"/>
    <w:rsid w:val="00C07130"/>
    <w:rsid w:val="00C11F93"/>
    <w:rsid w:val="00C33A35"/>
    <w:rsid w:val="00C439F4"/>
    <w:rsid w:val="00C77F66"/>
    <w:rsid w:val="00C90038"/>
    <w:rsid w:val="00C91A4F"/>
    <w:rsid w:val="00C97C47"/>
    <w:rsid w:val="00CA2F39"/>
    <w:rsid w:val="00CC16EE"/>
    <w:rsid w:val="00CC66D8"/>
    <w:rsid w:val="00CC68A7"/>
    <w:rsid w:val="00CE227F"/>
    <w:rsid w:val="00CF4947"/>
    <w:rsid w:val="00D006DE"/>
    <w:rsid w:val="00D07AD4"/>
    <w:rsid w:val="00D16B39"/>
    <w:rsid w:val="00D30BA9"/>
    <w:rsid w:val="00D442C1"/>
    <w:rsid w:val="00D46B1F"/>
    <w:rsid w:val="00D654B3"/>
    <w:rsid w:val="00D80EDB"/>
    <w:rsid w:val="00D906EF"/>
    <w:rsid w:val="00D94E34"/>
    <w:rsid w:val="00DD2C2F"/>
    <w:rsid w:val="00DE2024"/>
    <w:rsid w:val="00DE66BA"/>
    <w:rsid w:val="00DF0D2E"/>
    <w:rsid w:val="00DF5F86"/>
    <w:rsid w:val="00E03CF5"/>
    <w:rsid w:val="00E24B6E"/>
    <w:rsid w:val="00E407AD"/>
    <w:rsid w:val="00E434DB"/>
    <w:rsid w:val="00E448E5"/>
    <w:rsid w:val="00E81C47"/>
    <w:rsid w:val="00E838B7"/>
    <w:rsid w:val="00E846B6"/>
    <w:rsid w:val="00E8583A"/>
    <w:rsid w:val="00EA1CCE"/>
    <w:rsid w:val="00EB6A40"/>
    <w:rsid w:val="00EC1833"/>
    <w:rsid w:val="00ED0DC4"/>
    <w:rsid w:val="00ED7406"/>
    <w:rsid w:val="00F11099"/>
    <w:rsid w:val="00F13AFD"/>
    <w:rsid w:val="00F17FFA"/>
    <w:rsid w:val="00F24D04"/>
    <w:rsid w:val="00F265A9"/>
    <w:rsid w:val="00F35BDF"/>
    <w:rsid w:val="00F47F12"/>
    <w:rsid w:val="00F51BC0"/>
    <w:rsid w:val="00F56135"/>
    <w:rsid w:val="00F613A9"/>
    <w:rsid w:val="00F628B4"/>
    <w:rsid w:val="00F84568"/>
    <w:rsid w:val="00FA1D1D"/>
    <w:rsid w:val="00FD04A9"/>
    <w:rsid w:val="00FD235B"/>
    <w:rsid w:val="00FE6BDD"/>
    <w:rsid w:val="00FE7A59"/>
    <w:rsid w:val="00FF7EE4"/>
    <w:rsid w:val="01C61E2E"/>
    <w:rsid w:val="03732966"/>
    <w:rsid w:val="0526E126"/>
    <w:rsid w:val="090FFA48"/>
    <w:rsid w:val="09D13013"/>
    <w:rsid w:val="0B53D817"/>
    <w:rsid w:val="0D223844"/>
    <w:rsid w:val="0DCA430E"/>
    <w:rsid w:val="0DE36B6B"/>
    <w:rsid w:val="1154D1C2"/>
    <w:rsid w:val="129DB431"/>
    <w:rsid w:val="13781259"/>
    <w:rsid w:val="1B69FBE1"/>
    <w:rsid w:val="1C449677"/>
    <w:rsid w:val="1DE8545E"/>
    <w:rsid w:val="1E3B4250"/>
    <w:rsid w:val="20579180"/>
    <w:rsid w:val="245795E2"/>
    <w:rsid w:val="256E86BE"/>
    <w:rsid w:val="2587334E"/>
    <w:rsid w:val="28487EE9"/>
    <w:rsid w:val="287B0C11"/>
    <w:rsid w:val="296D5198"/>
    <w:rsid w:val="2ABEE9E0"/>
    <w:rsid w:val="2AD8123D"/>
    <w:rsid w:val="2B0921F9"/>
    <w:rsid w:val="2BDBCF09"/>
    <w:rsid w:val="2C5ABA41"/>
    <w:rsid w:val="2CA4F25A"/>
    <w:rsid w:val="334F76DF"/>
    <w:rsid w:val="347EF483"/>
    <w:rsid w:val="387FF504"/>
    <w:rsid w:val="38D2E2F6"/>
    <w:rsid w:val="3A1BC565"/>
    <w:rsid w:val="3C78CB91"/>
    <w:rsid w:val="3DA65419"/>
    <w:rsid w:val="420E6E9E"/>
    <w:rsid w:val="455E780C"/>
    <w:rsid w:val="45D77314"/>
    <w:rsid w:val="4BCDB990"/>
    <w:rsid w:val="4CFB4218"/>
    <w:rsid w:val="4E971279"/>
    <w:rsid w:val="5162607E"/>
    <w:rsid w:val="52117F1B"/>
    <w:rsid w:val="52661D4A"/>
    <w:rsid w:val="52FE30DF"/>
    <w:rsid w:val="550653FD"/>
    <w:rsid w:val="556360FF"/>
    <w:rsid w:val="559DBE0C"/>
    <w:rsid w:val="57106C37"/>
    <w:rsid w:val="57D1A202"/>
    <w:rsid w:val="596D7263"/>
    <w:rsid w:val="5D7FADBB"/>
    <w:rsid w:val="5E40E386"/>
    <w:rsid w:val="5F1B7E1C"/>
    <w:rsid w:val="60B74E7D"/>
    <w:rsid w:val="61D433A6"/>
    <w:rsid w:val="68C26062"/>
    <w:rsid w:val="6D1CB9D7"/>
    <w:rsid w:val="6F7EC9E3"/>
    <w:rsid w:val="70CE6E66"/>
    <w:rsid w:val="71AFFA63"/>
    <w:rsid w:val="74051309"/>
    <w:rsid w:val="7788FFCD"/>
    <w:rsid w:val="78D8842C"/>
    <w:rsid w:val="7B56DCA9"/>
    <w:rsid w:val="7CF2AD0A"/>
    <w:rsid w:val="7E8E7D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F0EF"/>
  <w15:docId w15:val="{BD9471AA-D6C2-4B75-8E0A-423E3BCF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11099"/>
    <w:pPr>
      <w:spacing w:line="240" w:lineRule="auto"/>
    </w:pPr>
  </w:style>
  <w:style w:type="character" w:styleId="CommentReference">
    <w:name w:val="annotation reference"/>
    <w:basedOn w:val="DefaultParagraphFont"/>
    <w:uiPriority w:val="99"/>
    <w:semiHidden/>
    <w:unhideWhenUsed/>
    <w:rsid w:val="00A95A28"/>
    <w:rPr>
      <w:sz w:val="16"/>
      <w:szCs w:val="16"/>
    </w:rPr>
  </w:style>
  <w:style w:type="paragraph" w:styleId="CommentText">
    <w:name w:val="annotation text"/>
    <w:basedOn w:val="Normal"/>
    <w:link w:val="CommentTextChar"/>
    <w:uiPriority w:val="99"/>
    <w:semiHidden/>
    <w:unhideWhenUsed/>
    <w:rsid w:val="00A95A28"/>
    <w:pPr>
      <w:spacing w:line="240" w:lineRule="auto"/>
    </w:pPr>
    <w:rPr>
      <w:sz w:val="20"/>
      <w:szCs w:val="20"/>
    </w:rPr>
  </w:style>
  <w:style w:type="character" w:customStyle="1" w:styleId="CommentTextChar">
    <w:name w:val="Comment Text Char"/>
    <w:basedOn w:val="DefaultParagraphFont"/>
    <w:link w:val="CommentText"/>
    <w:uiPriority w:val="99"/>
    <w:semiHidden/>
    <w:rsid w:val="00A95A28"/>
    <w:rPr>
      <w:sz w:val="20"/>
      <w:szCs w:val="20"/>
    </w:rPr>
  </w:style>
  <w:style w:type="paragraph" w:styleId="CommentSubject">
    <w:name w:val="annotation subject"/>
    <w:basedOn w:val="CommentText"/>
    <w:next w:val="CommentText"/>
    <w:link w:val="CommentSubjectChar"/>
    <w:uiPriority w:val="99"/>
    <w:semiHidden/>
    <w:unhideWhenUsed/>
    <w:rsid w:val="00A95A28"/>
    <w:rPr>
      <w:b/>
      <w:bCs/>
    </w:rPr>
  </w:style>
  <w:style w:type="character" w:customStyle="1" w:styleId="CommentSubjectChar">
    <w:name w:val="Comment Subject Char"/>
    <w:basedOn w:val="CommentTextChar"/>
    <w:link w:val="CommentSubject"/>
    <w:uiPriority w:val="99"/>
    <w:semiHidden/>
    <w:rsid w:val="00A95A28"/>
    <w:rPr>
      <w:b/>
      <w:bCs/>
      <w:sz w:val="20"/>
      <w:szCs w:val="20"/>
    </w:rPr>
  </w:style>
  <w:style w:type="paragraph" w:styleId="ListParagraph">
    <w:name w:val="List Paragraph"/>
    <w:basedOn w:val="Normal"/>
    <w:uiPriority w:val="34"/>
    <w:qFormat/>
    <w:rsid w:val="0078360A"/>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paragraph" w:styleId="Footer">
    <w:name w:val="footer"/>
    <w:basedOn w:val="Normal"/>
    <w:link w:val="FooterChar"/>
    <w:uiPriority w:val="99"/>
    <w:unhideWhenUsed/>
    <w:rsid w:val="00131324"/>
    <w:pPr>
      <w:tabs>
        <w:tab w:val="center" w:pos="4680"/>
        <w:tab w:val="right" w:pos="9360"/>
      </w:tabs>
      <w:spacing w:line="240" w:lineRule="auto"/>
    </w:pPr>
  </w:style>
  <w:style w:type="character" w:customStyle="1" w:styleId="FooterChar">
    <w:name w:val="Footer Char"/>
    <w:basedOn w:val="DefaultParagraphFont"/>
    <w:link w:val="Footer"/>
    <w:uiPriority w:val="99"/>
    <w:rsid w:val="00131324"/>
  </w:style>
  <w:style w:type="character" w:styleId="UnresolvedMention">
    <w:name w:val="Unresolved Mention"/>
    <w:basedOn w:val="DefaultParagraphFont"/>
    <w:uiPriority w:val="99"/>
    <w:semiHidden/>
    <w:unhideWhenUsed/>
    <w:rsid w:val="004E320A"/>
    <w:rPr>
      <w:color w:val="605E5C"/>
      <w:shd w:val="clear" w:color="auto" w:fill="E1DFDD"/>
    </w:rPr>
  </w:style>
  <w:style w:type="character" w:styleId="PageNumber">
    <w:name w:val="page number"/>
    <w:basedOn w:val="DefaultParagraphFont"/>
    <w:uiPriority w:val="99"/>
    <w:semiHidden/>
    <w:unhideWhenUsed/>
    <w:rsid w:val="00FD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3084">
      <w:bodyDiv w:val="1"/>
      <w:marLeft w:val="0"/>
      <w:marRight w:val="0"/>
      <w:marTop w:val="0"/>
      <w:marBottom w:val="0"/>
      <w:divBdr>
        <w:top w:val="none" w:sz="0" w:space="0" w:color="auto"/>
        <w:left w:val="none" w:sz="0" w:space="0" w:color="auto"/>
        <w:bottom w:val="none" w:sz="0" w:space="0" w:color="auto"/>
        <w:right w:val="none" w:sz="0" w:space="0" w:color="auto"/>
      </w:divBdr>
    </w:div>
    <w:div w:id="186717863">
      <w:bodyDiv w:val="1"/>
      <w:marLeft w:val="0"/>
      <w:marRight w:val="0"/>
      <w:marTop w:val="0"/>
      <w:marBottom w:val="0"/>
      <w:divBdr>
        <w:top w:val="none" w:sz="0" w:space="0" w:color="auto"/>
        <w:left w:val="none" w:sz="0" w:space="0" w:color="auto"/>
        <w:bottom w:val="none" w:sz="0" w:space="0" w:color="auto"/>
        <w:right w:val="none" w:sz="0" w:space="0" w:color="auto"/>
      </w:divBdr>
    </w:div>
    <w:div w:id="235366090">
      <w:bodyDiv w:val="1"/>
      <w:marLeft w:val="0"/>
      <w:marRight w:val="0"/>
      <w:marTop w:val="0"/>
      <w:marBottom w:val="0"/>
      <w:divBdr>
        <w:top w:val="none" w:sz="0" w:space="0" w:color="auto"/>
        <w:left w:val="none" w:sz="0" w:space="0" w:color="auto"/>
        <w:bottom w:val="none" w:sz="0" w:space="0" w:color="auto"/>
        <w:right w:val="none" w:sz="0" w:space="0" w:color="auto"/>
      </w:divBdr>
    </w:div>
    <w:div w:id="388117533">
      <w:bodyDiv w:val="1"/>
      <w:marLeft w:val="0"/>
      <w:marRight w:val="0"/>
      <w:marTop w:val="0"/>
      <w:marBottom w:val="0"/>
      <w:divBdr>
        <w:top w:val="none" w:sz="0" w:space="0" w:color="auto"/>
        <w:left w:val="none" w:sz="0" w:space="0" w:color="auto"/>
        <w:bottom w:val="none" w:sz="0" w:space="0" w:color="auto"/>
        <w:right w:val="none" w:sz="0" w:space="0" w:color="auto"/>
      </w:divBdr>
    </w:div>
    <w:div w:id="459152738">
      <w:bodyDiv w:val="1"/>
      <w:marLeft w:val="0"/>
      <w:marRight w:val="0"/>
      <w:marTop w:val="0"/>
      <w:marBottom w:val="0"/>
      <w:divBdr>
        <w:top w:val="none" w:sz="0" w:space="0" w:color="auto"/>
        <w:left w:val="none" w:sz="0" w:space="0" w:color="auto"/>
        <w:bottom w:val="none" w:sz="0" w:space="0" w:color="auto"/>
        <w:right w:val="none" w:sz="0" w:space="0" w:color="auto"/>
      </w:divBdr>
    </w:div>
    <w:div w:id="574894408">
      <w:bodyDiv w:val="1"/>
      <w:marLeft w:val="0"/>
      <w:marRight w:val="0"/>
      <w:marTop w:val="0"/>
      <w:marBottom w:val="0"/>
      <w:divBdr>
        <w:top w:val="none" w:sz="0" w:space="0" w:color="auto"/>
        <w:left w:val="none" w:sz="0" w:space="0" w:color="auto"/>
        <w:bottom w:val="none" w:sz="0" w:space="0" w:color="auto"/>
        <w:right w:val="none" w:sz="0" w:space="0" w:color="auto"/>
      </w:divBdr>
    </w:div>
    <w:div w:id="614100563">
      <w:bodyDiv w:val="1"/>
      <w:marLeft w:val="0"/>
      <w:marRight w:val="0"/>
      <w:marTop w:val="0"/>
      <w:marBottom w:val="0"/>
      <w:divBdr>
        <w:top w:val="none" w:sz="0" w:space="0" w:color="auto"/>
        <w:left w:val="none" w:sz="0" w:space="0" w:color="auto"/>
        <w:bottom w:val="none" w:sz="0" w:space="0" w:color="auto"/>
        <w:right w:val="none" w:sz="0" w:space="0" w:color="auto"/>
      </w:divBdr>
    </w:div>
    <w:div w:id="653533055">
      <w:bodyDiv w:val="1"/>
      <w:marLeft w:val="0"/>
      <w:marRight w:val="0"/>
      <w:marTop w:val="0"/>
      <w:marBottom w:val="0"/>
      <w:divBdr>
        <w:top w:val="none" w:sz="0" w:space="0" w:color="auto"/>
        <w:left w:val="none" w:sz="0" w:space="0" w:color="auto"/>
        <w:bottom w:val="none" w:sz="0" w:space="0" w:color="auto"/>
        <w:right w:val="none" w:sz="0" w:space="0" w:color="auto"/>
      </w:divBdr>
    </w:div>
    <w:div w:id="764964407">
      <w:bodyDiv w:val="1"/>
      <w:marLeft w:val="0"/>
      <w:marRight w:val="0"/>
      <w:marTop w:val="0"/>
      <w:marBottom w:val="0"/>
      <w:divBdr>
        <w:top w:val="none" w:sz="0" w:space="0" w:color="auto"/>
        <w:left w:val="none" w:sz="0" w:space="0" w:color="auto"/>
        <w:bottom w:val="none" w:sz="0" w:space="0" w:color="auto"/>
        <w:right w:val="none" w:sz="0" w:space="0" w:color="auto"/>
      </w:divBdr>
    </w:div>
    <w:div w:id="1006903645">
      <w:bodyDiv w:val="1"/>
      <w:marLeft w:val="0"/>
      <w:marRight w:val="0"/>
      <w:marTop w:val="0"/>
      <w:marBottom w:val="0"/>
      <w:divBdr>
        <w:top w:val="none" w:sz="0" w:space="0" w:color="auto"/>
        <w:left w:val="none" w:sz="0" w:space="0" w:color="auto"/>
        <w:bottom w:val="none" w:sz="0" w:space="0" w:color="auto"/>
        <w:right w:val="none" w:sz="0" w:space="0" w:color="auto"/>
      </w:divBdr>
    </w:div>
    <w:div w:id="1380712845">
      <w:bodyDiv w:val="1"/>
      <w:marLeft w:val="0"/>
      <w:marRight w:val="0"/>
      <w:marTop w:val="0"/>
      <w:marBottom w:val="0"/>
      <w:divBdr>
        <w:top w:val="none" w:sz="0" w:space="0" w:color="auto"/>
        <w:left w:val="none" w:sz="0" w:space="0" w:color="auto"/>
        <w:bottom w:val="none" w:sz="0" w:space="0" w:color="auto"/>
        <w:right w:val="none" w:sz="0" w:space="0" w:color="auto"/>
      </w:divBdr>
    </w:div>
    <w:div w:id="1718966339">
      <w:bodyDiv w:val="1"/>
      <w:marLeft w:val="0"/>
      <w:marRight w:val="0"/>
      <w:marTop w:val="0"/>
      <w:marBottom w:val="0"/>
      <w:divBdr>
        <w:top w:val="none" w:sz="0" w:space="0" w:color="auto"/>
        <w:left w:val="none" w:sz="0" w:space="0" w:color="auto"/>
        <w:bottom w:val="none" w:sz="0" w:space="0" w:color="auto"/>
        <w:right w:val="none" w:sz="0" w:space="0" w:color="auto"/>
      </w:divBdr>
    </w:div>
    <w:div w:id="1765832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hemimu.info/market-analysis-unit" TargetMode="External"/><Relationship Id="rId2" Type="http://schemas.openxmlformats.org/officeDocument/2006/relationships/customXml" Target="../customXml/item2.xml"/><Relationship Id="rId16" Type="http://schemas.openxmlformats.org/officeDocument/2006/relationships/hyperlink" Target="https://analytics.wfp.org/t/Public/views/MarketMonitoringDashboardv2/Overview_?%3AshowAppBanner=false&amp;%3Adisplay_count=n&amp;%3AshowVizHome=n&amp;%3Aorigin=viz_share_link&amp;%3AisGuestRedirectFromVizportal=y&amp;%3Aembe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themimu.info/sites/themimu.info/files/documents/Template_Myanmar_Minimum_Expenditure_Basket_MEB_Calculation_CWG_24Sep2021.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mimu.info/sites/themimu.info/files/documents/Summary_Myanmar_Minimum_Expenditure_Basket_MEB_Technical_Note_CWG_24Sep202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e899d54f-d3bc-4355-9323-8e338fc7e9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329788E56B5D4085D2E9776F9F216A" ma:contentTypeVersion="16" ma:contentTypeDescription="Create a new document." ma:contentTypeScope="" ma:versionID="bb8a665def170782cf7760432b45b314">
  <xsd:schema xmlns:xsd="http://www.w3.org/2001/XMLSchema" xmlns:xs="http://www.w3.org/2001/XMLSchema" xmlns:p="http://schemas.microsoft.com/office/2006/metadata/properties" xmlns:ns2="e899d54f-d3bc-4355-9323-8e338fc7e9d7" xmlns:ns3="a333398c-7e7e-40ff-96ad-b22bfc0f291a" xmlns:ns4="985ec44e-1bab-4c0b-9df0-6ba128686fc9" targetNamespace="http://schemas.microsoft.com/office/2006/metadata/properties" ma:root="true" ma:fieldsID="14bd09950b9cde9f3de9a39f66b6802b" ns2:_="" ns3:_="" ns4:_="">
    <xsd:import namespace="e899d54f-d3bc-4355-9323-8e338fc7e9d7"/>
    <xsd:import namespace="a333398c-7e7e-40ff-96ad-b22bfc0f291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9d54f-d3bc-4355-9323-8e338fc7e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33398c-7e7e-40ff-96ad-b22bfc0f29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c75af65-d45b-4ad4-9d84-f420ab9ee980}" ma:internalName="TaxCatchAll" ma:showField="CatchAllData" ma:web="a333398c-7e7e-40ff-96ad-b22bfc0f29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DD52-D0B2-41C3-B0E5-BAFE005F85BE}">
  <ds:schemaRefs>
    <ds:schemaRef ds:uri="http://schemas.microsoft.com/sharepoint/v3/contenttype/forms"/>
  </ds:schemaRefs>
</ds:datastoreItem>
</file>

<file path=customXml/itemProps2.xml><?xml version="1.0" encoding="utf-8"?>
<ds:datastoreItem xmlns:ds="http://schemas.openxmlformats.org/officeDocument/2006/customXml" ds:itemID="{9F1FDA41-4DE6-4ECC-AB00-FBB971DE07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AEB80-EBB7-467B-9ABD-A105E9DA14F9}"/>
</file>

<file path=customXml/itemProps4.xml><?xml version="1.0" encoding="utf-8"?>
<ds:datastoreItem xmlns:ds="http://schemas.openxmlformats.org/officeDocument/2006/customXml" ds:itemID="{D7677599-BAC0-2144-8520-38668596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1870</Words>
  <Characters>10660</Characters>
  <Application>Microsoft Office Word</Application>
  <DocSecurity>0</DocSecurity>
  <Lines>88</Lines>
  <Paragraphs>25</Paragraphs>
  <ScaleCrop>false</ScaleCrop>
  <Company/>
  <LinksUpToDate>false</LinksUpToDate>
  <CharactersWithSpaces>12505</CharactersWithSpaces>
  <SharedDoc>false</SharedDoc>
  <HLinks>
    <vt:vector size="24" baseType="variant">
      <vt:variant>
        <vt:i4>2031680</vt:i4>
      </vt:variant>
      <vt:variant>
        <vt:i4>9</vt:i4>
      </vt:variant>
      <vt:variant>
        <vt:i4>0</vt:i4>
      </vt:variant>
      <vt:variant>
        <vt:i4>5</vt:i4>
      </vt:variant>
      <vt:variant>
        <vt:lpwstr>https://themimu.info/market-analysis-unit</vt:lpwstr>
      </vt:variant>
      <vt:variant>
        <vt:lpwstr/>
      </vt:variant>
      <vt:variant>
        <vt:i4>1638481</vt:i4>
      </vt:variant>
      <vt:variant>
        <vt:i4>6</vt:i4>
      </vt:variant>
      <vt:variant>
        <vt:i4>0</vt:i4>
      </vt:variant>
      <vt:variant>
        <vt:i4>5</vt:i4>
      </vt:variant>
      <vt:variant>
        <vt:lpwstr>https://analytics.wfp.org/t/Public/views/MarketMonitoringDashboardv2/Overview_?%3AshowAppBanner=false&amp;%3Adisplay_count=n&amp;%3AshowVizHome=n&amp;%3Aorigin=viz_share_link&amp;%3AisGuestRedirectFromVizportal=y&amp;%3Aembed=y</vt:lpwstr>
      </vt:variant>
      <vt:variant>
        <vt:lpwstr/>
      </vt:variant>
      <vt:variant>
        <vt:i4>4390931</vt:i4>
      </vt:variant>
      <vt:variant>
        <vt:i4>3</vt:i4>
      </vt:variant>
      <vt:variant>
        <vt:i4>0</vt:i4>
      </vt:variant>
      <vt:variant>
        <vt:i4>5</vt:i4>
      </vt:variant>
      <vt:variant>
        <vt:lpwstr>http://themimu.info/sites/themimu.info/files/documents/Template_Myanmar_Minimum_Expenditure_Basket_MEB_Calculation_CWG_24Sep2021.xlsx</vt:lpwstr>
      </vt:variant>
      <vt:variant>
        <vt:lpwstr/>
      </vt:variant>
      <vt:variant>
        <vt:i4>655484</vt:i4>
      </vt:variant>
      <vt:variant>
        <vt:i4>0</vt:i4>
      </vt:variant>
      <vt:variant>
        <vt:i4>0</vt:i4>
      </vt:variant>
      <vt:variant>
        <vt:i4>5</vt:i4>
      </vt:variant>
      <vt:variant>
        <vt:lpwstr>http://themimu.info/sites/themimu.info/files/documents/Summary_Myanmar_Minimum_Expenditure_Basket_MEB_Technical_Note_CWG_24Sep2021.docx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Nelson</cp:lastModifiedBy>
  <cp:revision>181</cp:revision>
  <dcterms:created xsi:type="dcterms:W3CDTF">2022-09-16T23:57:00Z</dcterms:created>
  <dcterms:modified xsi:type="dcterms:W3CDTF">2023-06-16T05:35:00Z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0x01010090EEFF95B33FD745A32690361BBF5EB0</vt:lpwstr>
  </property>
</Properties>
</file>