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3FB0" w14:textId="77777777" w:rsidR="00CC16EE" w:rsidRDefault="00CC16EE">
      <w:pPr>
        <w:rPr>
          <w:b/>
          <w:u w:val="single"/>
        </w:rPr>
      </w:pPr>
    </w:p>
    <w:p w14:paraId="7269422A" w14:textId="6B1F9E13" w:rsidR="00CC16EE" w:rsidRDefault="00A80A1B" w:rsidP="45D77314">
      <w:pPr>
        <w:rPr>
          <w:b/>
          <w:bCs/>
          <w:u w:val="single"/>
        </w:rPr>
      </w:pPr>
      <w:r w:rsidRPr="45D77314">
        <w:rPr>
          <w:b/>
          <w:bCs/>
          <w:u w:val="single"/>
        </w:rPr>
        <w:t xml:space="preserve">Expected Outcomes of the Survival Minimum </w:t>
      </w:r>
      <w:r w:rsidR="000E510A" w:rsidRPr="45D77314">
        <w:rPr>
          <w:b/>
          <w:bCs/>
          <w:u w:val="single"/>
        </w:rPr>
        <w:t>Expenditure</w:t>
      </w:r>
      <w:r w:rsidRPr="45D77314">
        <w:rPr>
          <w:b/>
          <w:bCs/>
          <w:u w:val="single"/>
        </w:rPr>
        <w:t xml:space="preserve"> Basket (SMEB) Exercise</w:t>
      </w:r>
    </w:p>
    <w:p w14:paraId="4B1C2F6E" w14:textId="77777777" w:rsidR="00CC16EE" w:rsidRDefault="00CC16EE"/>
    <w:p w14:paraId="135477A4" w14:textId="77777777" w:rsidR="00CC16EE" w:rsidRDefault="00A80A1B">
      <w:pPr>
        <w:numPr>
          <w:ilvl w:val="0"/>
          <w:numId w:val="4"/>
        </w:numPr>
      </w:pPr>
      <w:r>
        <w:t xml:space="preserve">Establish a Myanmar </w:t>
      </w:r>
      <w:r>
        <w:rPr>
          <w:rFonts w:ascii="Roboto" w:eastAsia="Roboto" w:hAnsi="Roboto" w:cs="Roboto"/>
        </w:rPr>
        <w:t>SMEB, which is the absolute minimum amount required to maintain existence and cover lifesaving needs, which could involve the deprivation of certain human rights.</w:t>
      </w:r>
    </w:p>
    <w:p w14:paraId="2A7E788A" w14:textId="171EE40C" w:rsidR="00CC16EE" w:rsidRDefault="00A80A1B">
      <w:pPr>
        <w:numPr>
          <w:ilvl w:val="0"/>
          <w:numId w:val="4"/>
        </w:numPr>
      </w:pPr>
      <w:r>
        <w:t>Establish a SMEB that can inform a CWG endorsed Multi-Purpose Cash Assistance (MPCA) transfer value (refer to annex 2).</w:t>
      </w:r>
    </w:p>
    <w:p w14:paraId="50E3152E" w14:textId="77777777" w:rsidR="00CC16EE" w:rsidRDefault="00CC16EE">
      <w:pPr>
        <w:ind w:left="720"/>
      </w:pPr>
    </w:p>
    <w:p w14:paraId="32B077C1" w14:textId="362878ED" w:rsidR="00CC16EE" w:rsidRDefault="00A80A1B" w:rsidP="45D77314">
      <w:pPr>
        <w:rPr>
          <w:b/>
          <w:bCs/>
          <w:u w:val="single"/>
        </w:rPr>
      </w:pPr>
      <w:r w:rsidRPr="45D77314">
        <w:rPr>
          <w:b/>
          <w:bCs/>
          <w:u w:val="single"/>
        </w:rPr>
        <w:t>Myanmar Cash Working Group - SMEB Methodology:</w:t>
      </w:r>
    </w:p>
    <w:p w14:paraId="36EEEC20" w14:textId="77777777" w:rsidR="00CC16EE" w:rsidRDefault="00CC16EE"/>
    <w:p w14:paraId="381E5EE8" w14:textId="79E4B0E8" w:rsidR="00CC16EE" w:rsidRDefault="00A80A1B" w:rsidP="45D77314">
      <w:r>
        <w:t>WFP’s standard full ration in-kind food basket of rice (13.5 kg), chickpeas (1.8 kg), cooking oil (1 L), and salt (0.15 kg) per person</w:t>
      </w:r>
      <w:r w:rsidR="00E838B7">
        <w:t xml:space="preserve"> is the basis</w:t>
      </w:r>
      <w:r w:rsidR="009507E6">
        <w:t xml:space="preserve"> for the SMEB calculation. Th</w:t>
      </w:r>
      <w:r w:rsidR="00F13AFD">
        <w:t xml:space="preserve">e </w:t>
      </w:r>
      <w:r w:rsidR="00897AB5">
        <w:t>standard ration cost is calculated based on the</w:t>
      </w:r>
      <w:r>
        <w:t xml:space="preserve"> </w:t>
      </w:r>
      <w:r w:rsidR="00897AB5">
        <w:t xml:space="preserve">average </w:t>
      </w:r>
      <w:r>
        <w:t>current market prices of those items</w:t>
      </w:r>
      <w:r w:rsidR="00897AB5">
        <w:t xml:space="preserve"> and quantities</w:t>
      </w:r>
      <w:r>
        <w:t xml:space="preserve">. </w:t>
      </w:r>
      <w:r w:rsidR="00023F67">
        <w:t xml:space="preserve">For this update, </w:t>
      </w:r>
      <w:r w:rsidR="00832E68">
        <w:t>May 202</w:t>
      </w:r>
      <w:r w:rsidR="00CD6916">
        <w:t>4</w:t>
      </w:r>
      <w:r w:rsidR="00023F67">
        <w:t xml:space="preserve"> prices were used. </w:t>
      </w:r>
      <w:r>
        <w:t xml:space="preserve">Finally, the cost of the individual food basket </w:t>
      </w:r>
      <w:r w:rsidR="00462D73">
        <w:t xml:space="preserve">is multiplied </w:t>
      </w:r>
      <w:r>
        <w:t>by 5 (the average Myanmar household size).</w:t>
      </w:r>
      <w:r w:rsidR="002D2DF5">
        <w:rPr>
          <w:rStyle w:val="FootnoteReference"/>
        </w:rPr>
        <w:footnoteReference w:id="2"/>
      </w:r>
      <w:r>
        <w:t xml:space="preserve"> </w:t>
      </w:r>
    </w:p>
    <w:p w14:paraId="002BB524" w14:textId="77777777" w:rsidR="00CC16EE" w:rsidRDefault="00CC16EE"/>
    <w:p w14:paraId="0F1AB216" w14:textId="4B437678" w:rsidR="00CC16EE" w:rsidRDefault="00A80A1B" w:rsidP="00271D2D">
      <w:r>
        <w:t>Using the SMEB food calculation</w:t>
      </w:r>
      <w:r w:rsidR="00A44BE2">
        <w:t xml:space="preserve"> as the basis</w:t>
      </w:r>
      <w:r>
        <w:t xml:space="preserve">, the other MEB consumption sectors </w:t>
      </w:r>
      <w:r w:rsidR="003F75B6">
        <w:t xml:space="preserve">are reduced </w:t>
      </w:r>
      <w:r>
        <w:t xml:space="preserve">by the same proportion. In complementarity with the Myanmar MEB, the </w:t>
      </w:r>
      <w:r w:rsidR="00CD6916">
        <w:t>remaining consumption sectors</w:t>
      </w:r>
      <w:r>
        <w:t xml:space="preserve"> are assigned the same proportion as they were in the full MEB</w:t>
      </w:r>
      <w:r w:rsidR="00CD6916">
        <w:t xml:space="preserve"> (35%)</w:t>
      </w:r>
      <w:r>
        <w:t xml:space="preserve">. </w:t>
      </w:r>
      <w:r w:rsidR="009723CB">
        <w:t xml:space="preserve">Finally, the SMEB is rounded to the nearest </w:t>
      </w:r>
      <w:r w:rsidR="00CD6916">
        <w:t>5</w:t>
      </w:r>
      <w:r w:rsidR="009723CB">
        <w:t xml:space="preserve">,000 MMK </w:t>
      </w:r>
      <w:r w:rsidR="00BE59E2">
        <w:t xml:space="preserve">for ease of distribution. </w:t>
      </w:r>
    </w:p>
    <w:p w14:paraId="2FD78A61" w14:textId="14731729" w:rsidR="00CC16EE" w:rsidRDefault="00CC16EE"/>
    <w:tbl>
      <w:tblPr>
        <w:tblW w:w="10255" w:type="dxa"/>
        <w:tblLook w:val="04A0" w:firstRow="1" w:lastRow="0" w:firstColumn="1" w:lastColumn="0" w:noHBand="0" w:noVBand="1"/>
      </w:tblPr>
      <w:tblGrid>
        <w:gridCol w:w="1352"/>
        <w:gridCol w:w="1883"/>
        <w:gridCol w:w="2070"/>
        <w:gridCol w:w="1644"/>
        <w:gridCol w:w="1686"/>
        <w:gridCol w:w="1620"/>
      </w:tblGrid>
      <w:tr w:rsidR="00CD6916" w:rsidRPr="00CD6916" w14:paraId="3CB6B5B1" w14:textId="77777777" w:rsidTr="00CD6916">
        <w:trPr>
          <w:trHeight w:val="148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5F9" w:fill="8CB5F9"/>
            <w:vAlign w:val="center"/>
            <w:hideMark/>
          </w:tcPr>
          <w:p w14:paraId="0A373687" w14:textId="77777777" w:rsidR="00CD6916" w:rsidRPr="00CD6916" w:rsidRDefault="00CD6916" w:rsidP="00CD691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  <w:t>State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5F9" w:fill="8CB5F9"/>
            <w:vAlign w:val="center"/>
            <w:hideMark/>
          </w:tcPr>
          <w:p w14:paraId="03339E22" w14:textId="77777777" w:rsidR="00CD6916" w:rsidRPr="00CD6916" w:rsidRDefault="00CD6916" w:rsidP="00CD691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  <w:t>Cost of Individual full food ration (Nov 2023)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5F9" w:fill="8CB5F9"/>
            <w:vAlign w:val="center"/>
            <w:hideMark/>
          </w:tcPr>
          <w:p w14:paraId="6E461D98" w14:textId="77777777" w:rsidR="00CD6916" w:rsidRPr="00CD6916" w:rsidRDefault="00CD6916" w:rsidP="00CD691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  <w:t>Non-Food Items and Services (35%)</w:t>
            </w:r>
            <w:r w:rsidRPr="00CD6916"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  <w:br/>
              <w:t>10% of SMEB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5F9" w:fill="8CB5F9"/>
            <w:vAlign w:val="center"/>
            <w:hideMark/>
          </w:tcPr>
          <w:p w14:paraId="12EA469C" w14:textId="77777777" w:rsidR="00CD6916" w:rsidRPr="00CD6916" w:rsidRDefault="00CD6916" w:rsidP="00CD691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  <w:t>Total Cost of SMEB per individual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5B95F9" w:fill="8CB5F9"/>
            <w:vAlign w:val="center"/>
            <w:hideMark/>
          </w:tcPr>
          <w:p w14:paraId="40A398C7" w14:textId="77777777" w:rsidR="00CD6916" w:rsidRPr="00CD6916" w:rsidRDefault="00CD6916" w:rsidP="00CD691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  <w:t>Cost of SMEB for a household of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5F9" w:fill="8CB5F9"/>
            <w:vAlign w:val="center"/>
            <w:hideMark/>
          </w:tcPr>
          <w:p w14:paraId="5F28D66B" w14:textId="45FF051E" w:rsidR="00CD6916" w:rsidRPr="00CD6916" w:rsidRDefault="00CD6916" w:rsidP="00CD691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  <w:t>Rounded to nearest 5,000</w:t>
            </w:r>
            <w:r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  <w:t xml:space="preserve"> MMK</w:t>
            </w:r>
          </w:p>
        </w:tc>
      </w:tr>
      <w:tr w:rsidR="00CD6916" w:rsidRPr="00CD6916" w14:paraId="4AA8A8CE" w14:textId="77777777" w:rsidTr="00CD6916">
        <w:trPr>
          <w:trHeight w:val="84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8651394" w14:textId="77777777" w:rsidR="00CD6916" w:rsidRPr="00CD6916" w:rsidRDefault="00CD6916" w:rsidP="00CD6916">
            <w:pPr>
              <w:spacing w:line="240" w:lineRule="auto"/>
              <w:jc w:val="center"/>
              <w:rPr>
                <w:rFonts w:eastAsia="Times New Roman"/>
                <w:color w:val="00000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lang w:val="en-US" w:eastAsia="en-US" w:bidi="th-TH"/>
              </w:rPr>
              <w:t>Nationwide Average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ACEB28" w14:textId="36C6A06F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lang w:val="en-US" w:eastAsia="en-US" w:bidi="th-TH"/>
              </w:rPr>
              <w:t xml:space="preserve">48,409 </w:t>
            </w:r>
            <w:r>
              <w:rPr>
                <w:rFonts w:eastAsia="Times New Roman"/>
                <w:color w:val="000000"/>
                <w:lang w:val="en-US" w:eastAsia="en-US" w:bidi="th-TH"/>
              </w:rPr>
              <w:t>MM</w:t>
            </w:r>
            <w:r w:rsidRPr="00CD6916">
              <w:rPr>
                <w:rFonts w:eastAsia="Times New Roman"/>
                <w:color w:val="000000"/>
                <w:lang w:val="en-US" w:eastAsia="en-US" w:bidi="th-TH"/>
              </w:rPr>
              <w:t>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C647EE" w14:textId="59D4D97B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lang w:val="en-US" w:eastAsia="en-US" w:bidi="th-TH"/>
              </w:rPr>
              <w:t xml:space="preserve">26,066 </w:t>
            </w:r>
            <w:r>
              <w:rPr>
                <w:rFonts w:eastAsia="Times New Roman"/>
                <w:color w:val="000000"/>
                <w:lang w:val="en-US" w:eastAsia="en-US" w:bidi="th-TH"/>
              </w:rPr>
              <w:t>MM</w:t>
            </w:r>
            <w:r w:rsidRPr="00CD6916">
              <w:rPr>
                <w:rFonts w:eastAsia="Times New Roman"/>
                <w:color w:val="000000"/>
                <w:lang w:val="en-US" w:eastAsia="en-US" w:bidi="th-TH"/>
              </w:rPr>
              <w:t>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C24C9A" w14:textId="31BFFE78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lang w:val="en-US" w:eastAsia="en-US" w:bidi="th-TH"/>
              </w:rPr>
              <w:t xml:space="preserve">74,475 </w:t>
            </w:r>
            <w:r>
              <w:rPr>
                <w:rFonts w:eastAsia="Times New Roman"/>
                <w:color w:val="000000"/>
                <w:lang w:val="en-US" w:eastAsia="en-US" w:bidi="th-TH"/>
              </w:rPr>
              <w:t>MM</w:t>
            </w:r>
            <w:r w:rsidRPr="00CD6916">
              <w:rPr>
                <w:rFonts w:eastAsia="Times New Roman"/>
                <w:color w:val="000000"/>
                <w:lang w:val="en-US" w:eastAsia="en-US" w:bidi="th-TH"/>
              </w:rPr>
              <w:t>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201934D" w14:textId="55A6EBDD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lang w:val="en-US" w:eastAsia="en-US" w:bidi="th-TH"/>
              </w:rPr>
              <w:t xml:space="preserve">372,376 </w:t>
            </w:r>
            <w:r>
              <w:rPr>
                <w:rFonts w:eastAsia="Times New Roman"/>
                <w:color w:val="000000"/>
                <w:lang w:val="en-US" w:eastAsia="en-US" w:bidi="th-TH"/>
              </w:rPr>
              <w:t>MM</w:t>
            </w:r>
            <w:r w:rsidRPr="00CD6916">
              <w:rPr>
                <w:rFonts w:eastAsia="Times New Roman"/>
                <w:color w:val="000000"/>
                <w:lang w:val="en-US" w:eastAsia="en-US" w:bidi="th-TH"/>
              </w:rPr>
              <w:t>K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7CC545" w14:textId="1DC07CB2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  <w:t xml:space="preserve">370,000 </w:t>
            </w:r>
            <w:r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  <w:t>MM</w:t>
            </w:r>
            <w:r w:rsidRPr="00CD6916">
              <w:rPr>
                <w:rFonts w:eastAsia="Times New Roman"/>
                <w:b/>
                <w:bCs/>
                <w:color w:val="000000"/>
                <w:lang w:val="en-US" w:eastAsia="en-US" w:bidi="th-TH"/>
              </w:rPr>
              <w:t>K</w:t>
            </w:r>
          </w:p>
        </w:tc>
      </w:tr>
    </w:tbl>
    <w:p w14:paraId="7AE46F6B" w14:textId="0AC5ED03" w:rsidR="00CC16EE" w:rsidRDefault="00CC16EE"/>
    <w:p w14:paraId="6FB14EC5" w14:textId="77777777" w:rsidR="00CD6916" w:rsidRDefault="00CD6916">
      <w:pPr>
        <w:rPr>
          <w:b/>
          <w:u w:val="single"/>
        </w:rPr>
      </w:pPr>
    </w:p>
    <w:p w14:paraId="3234AA96" w14:textId="1E4C49A0" w:rsidR="00CC16EE" w:rsidRDefault="000C2397">
      <w:pPr>
        <w:rPr>
          <w:b/>
          <w:u w:val="single"/>
        </w:rPr>
      </w:pPr>
      <w:r>
        <w:rPr>
          <w:b/>
          <w:u w:val="single"/>
        </w:rPr>
        <w:t>A</w:t>
      </w:r>
      <w:r w:rsidR="00A80A1B">
        <w:rPr>
          <w:b/>
          <w:u w:val="single"/>
        </w:rPr>
        <w:t>dvantages of the Proposed SMEB Methodology:</w:t>
      </w:r>
    </w:p>
    <w:p w14:paraId="298106F9" w14:textId="77777777" w:rsidR="00CC16EE" w:rsidRDefault="00CC16EE"/>
    <w:p w14:paraId="55F54710" w14:textId="77777777" w:rsidR="00CC16EE" w:rsidRDefault="00A80A1B">
      <w:pPr>
        <w:numPr>
          <w:ilvl w:val="0"/>
          <w:numId w:val="11"/>
        </w:numPr>
      </w:pPr>
      <w:r>
        <w:t>It provides complementarity with the MEB. It does not try to recreate the MEB and, at the same time, builds upon the work and data from the MEB.</w:t>
      </w:r>
    </w:p>
    <w:p w14:paraId="3DB40B07" w14:textId="3F978D66" w:rsidR="00CC16EE" w:rsidRDefault="00A80A1B">
      <w:pPr>
        <w:numPr>
          <w:ilvl w:val="0"/>
          <w:numId w:val="11"/>
        </w:numPr>
      </w:pPr>
      <w:r>
        <w:t xml:space="preserve">It </w:t>
      </w:r>
      <w:r w:rsidR="001F324C">
        <w:t>is harmonized with</w:t>
      </w:r>
      <w:r>
        <w:t xml:space="preserve"> WFP’s </w:t>
      </w:r>
      <w:r w:rsidR="001F324C">
        <w:t xml:space="preserve">calculation for </w:t>
      </w:r>
      <w:r w:rsidR="00487FC5">
        <w:t>food transfer value</w:t>
      </w:r>
      <w:r w:rsidR="001F324C">
        <w:t>s</w:t>
      </w:r>
      <w:r>
        <w:t xml:space="preserve">. In addition, since WFP Myanmar is the most prominent cash actor, many </w:t>
      </w:r>
      <w:r w:rsidR="00A57E4F">
        <w:t>other partners</w:t>
      </w:r>
      <w:r>
        <w:t xml:space="preserve"> use a similar </w:t>
      </w:r>
      <w:r>
        <w:lastRenderedPageBreak/>
        <w:t xml:space="preserve">methodology for calculating their CVA transfer values, </w:t>
      </w:r>
      <w:r w:rsidR="002F3ECC">
        <w:t>which will allow</w:t>
      </w:r>
      <w:r>
        <w:t xml:space="preserve"> for a </w:t>
      </w:r>
      <w:r w:rsidR="00CC66D8">
        <w:t>clearer</w:t>
      </w:r>
      <w:r>
        <w:t xml:space="preserve"> transition to MPCA</w:t>
      </w:r>
      <w:r w:rsidR="00CF4947">
        <w:t xml:space="preserve"> for those that choose to do so</w:t>
      </w:r>
      <w:r>
        <w:t>.</w:t>
      </w:r>
    </w:p>
    <w:p w14:paraId="3F17D9B2" w14:textId="40453061" w:rsidR="00CC16EE" w:rsidRDefault="00A80A1B">
      <w:pPr>
        <w:numPr>
          <w:ilvl w:val="0"/>
          <w:numId w:val="11"/>
        </w:numPr>
      </w:pPr>
      <w:r>
        <w:t xml:space="preserve">The market price monitoring system for food is already in place nationwide, and the CWG </w:t>
      </w:r>
      <w:r w:rsidR="00267ECC">
        <w:t>can</w:t>
      </w:r>
      <w:r>
        <w:t xml:space="preserve"> develop state and township-level SMEBs in locations where market price monitoring of</w:t>
      </w:r>
      <w:r w:rsidR="00CF4947">
        <w:t xml:space="preserve"> the</w:t>
      </w:r>
      <w:r>
        <w:t xml:space="preserve"> four core food commodities</w:t>
      </w:r>
      <w:r w:rsidR="00FE6BDD">
        <w:t xml:space="preserve"> is in place</w:t>
      </w:r>
      <w:r>
        <w:t xml:space="preserve"> (refer to annex 1). This SMEB </w:t>
      </w:r>
      <w:r w:rsidR="00267ECC">
        <w:t>can</w:t>
      </w:r>
      <w:r w:rsidR="009D43CD">
        <w:t xml:space="preserve"> </w:t>
      </w:r>
      <w:r>
        <w:t xml:space="preserve">also facilitate inflation adjustments every </w:t>
      </w:r>
      <w:r w:rsidR="009D43CD">
        <w:t>month depending on the needs o</w:t>
      </w:r>
      <w:r w:rsidR="006A3EAD">
        <w:t>f</w:t>
      </w:r>
      <w:r w:rsidR="009D43CD">
        <w:t xml:space="preserve"> partners</w:t>
      </w:r>
      <w:r>
        <w:t xml:space="preserve">. </w:t>
      </w:r>
      <w:r w:rsidR="009D43CD">
        <w:t xml:space="preserve">An </w:t>
      </w:r>
      <w:r>
        <w:t>itemized approach for the non-food sectors,</w:t>
      </w:r>
      <w:r w:rsidR="009D43CD">
        <w:t xml:space="preserve"> </w:t>
      </w:r>
      <w:r>
        <w:t xml:space="preserve">would require setting up a nationwide monitoring system for </w:t>
      </w:r>
      <w:r w:rsidR="009D43CD">
        <w:t xml:space="preserve">the agreed upon </w:t>
      </w:r>
      <w:r>
        <w:t xml:space="preserve">items, which is not in place. </w:t>
      </w:r>
    </w:p>
    <w:p w14:paraId="11074674" w14:textId="5139EACB" w:rsidR="00CC16EE" w:rsidRDefault="00A80A1B">
      <w:pPr>
        <w:numPr>
          <w:ilvl w:val="0"/>
          <w:numId w:val="11"/>
        </w:numPr>
      </w:pPr>
      <w:r>
        <w:t xml:space="preserve">It reiterates recurring monthly expenditures, aligning with the recurrent expenditure methodology of the MEB and the data from the Myanmar Living Conditions Survey (MLCS). </w:t>
      </w:r>
      <w:r w:rsidR="009D43CD">
        <w:t>An</w:t>
      </w:r>
      <w:r>
        <w:t xml:space="preserve"> Itemized approach for the non-food sectors</w:t>
      </w:r>
      <w:r w:rsidR="009D43CD">
        <w:t xml:space="preserve"> </w:t>
      </w:r>
      <w:r>
        <w:t xml:space="preserve">would likely need to include one-off items. As a result, it </w:t>
      </w:r>
      <w:r w:rsidR="005416F9">
        <w:t xml:space="preserve">could </w:t>
      </w:r>
      <w:r>
        <w:t>overemphasize the household expenditure o</w:t>
      </w:r>
      <w:r w:rsidR="00224730">
        <w:t>f</w:t>
      </w:r>
      <w:r>
        <w:t xml:space="preserve"> those sectors.</w:t>
      </w:r>
    </w:p>
    <w:p w14:paraId="5F2679E0" w14:textId="0582052A" w:rsidR="00CC16EE" w:rsidRDefault="00A80A1B">
      <w:pPr>
        <w:numPr>
          <w:ilvl w:val="0"/>
          <w:numId w:val="11"/>
        </w:numPr>
      </w:pPr>
      <w:r>
        <w:t xml:space="preserve">The proposed methodology can help inform MPCA transfer values. By not placing as much emphasis on specific sectors or even items, </w:t>
      </w:r>
      <w:r w:rsidR="00224730">
        <w:t>it</w:t>
      </w:r>
      <w:r>
        <w:t xml:space="preserve"> align</w:t>
      </w:r>
      <w:r w:rsidR="00224730">
        <w:t>s</w:t>
      </w:r>
      <w:r>
        <w:t xml:space="preserve"> better with the unrestricted </w:t>
      </w:r>
      <w:r w:rsidR="00224730">
        <w:t>and multi-sectoral outcomes</w:t>
      </w:r>
      <w:r>
        <w:t xml:space="preserve"> of MPCA.</w:t>
      </w:r>
    </w:p>
    <w:p w14:paraId="621E66E2" w14:textId="77777777" w:rsidR="00CC16EE" w:rsidRDefault="00CC16EE"/>
    <w:p w14:paraId="435DC424" w14:textId="77777777" w:rsidR="00CC16EE" w:rsidRDefault="00A80A1B">
      <w:pPr>
        <w:rPr>
          <w:b/>
          <w:u w:val="single"/>
        </w:rPr>
      </w:pPr>
      <w:r>
        <w:rPr>
          <w:b/>
          <w:u w:val="single"/>
        </w:rPr>
        <w:t>Disadvantages of the Proposed SMEB Methodology</w:t>
      </w:r>
    </w:p>
    <w:p w14:paraId="0C21DC85" w14:textId="36C2E1D3" w:rsidR="00CC16EE" w:rsidRDefault="00224730">
      <w:pPr>
        <w:numPr>
          <w:ilvl w:val="0"/>
          <w:numId w:val="9"/>
        </w:numPr>
      </w:pPr>
      <w:r>
        <w:t>The</w:t>
      </w:r>
      <w:r w:rsidR="00A80A1B">
        <w:t xml:space="preserve"> SMEB methodology relies solely on food inflation for adjusting the amounts, </w:t>
      </w:r>
      <w:r>
        <w:t xml:space="preserve">therefore </w:t>
      </w:r>
      <w:r w:rsidR="00A80A1B">
        <w:t xml:space="preserve">it does not </w:t>
      </w:r>
      <w:r>
        <w:t>account</w:t>
      </w:r>
      <w:r w:rsidR="00E407AD">
        <w:t xml:space="preserve"> </w:t>
      </w:r>
      <w:r w:rsidR="001E7EA0">
        <w:t xml:space="preserve">for </w:t>
      </w:r>
      <w:r w:rsidR="005D4A56">
        <w:t xml:space="preserve">different inflation rates </w:t>
      </w:r>
      <w:r w:rsidR="007B0785">
        <w:t>between</w:t>
      </w:r>
      <w:r w:rsidR="005D4A56">
        <w:t xml:space="preserve"> food and</w:t>
      </w:r>
      <w:r w:rsidR="00A80A1B">
        <w:t xml:space="preserve"> non-food items</w:t>
      </w:r>
      <w:r w:rsidR="005D4A56">
        <w:t xml:space="preserve">. </w:t>
      </w:r>
      <w:r w:rsidR="00A80A1B">
        <w:t xml:space="preserve">This could, over time, make the SMEB less accurate as it no longer aligns with previous data on household expenditure. For example, if food prices go up </w:t>
      </w:r>
      <w:r w:rsidR="005709EF">
        <w:t>faster than non-food</w:t>
      </w:r>
      <w:r w:rsidR="00A80A1B">
        <w:t>, this could result in a higher percentage of household expenditure devoted to food than previous data suggests. Therefore, it will be essential to monitor this and adjust the SMEB/MEB calculations accordingly.</w:t>
      </w:r>
    </w:p>
    <w:p w14:paraId="0A158E79" w14:textId="006AF80A" w:rsidR="00CC16EE" w:rsidRDefault="00A80A1B">
      <w:pPr>
        <w:numPr>
          <w:ilvl w:val="0"/>
          <w:numId w:val="9"/>
        </w:numPr>
      </w:pPr>
      <w:r>
        <w:t xml:space="preserve">If partners want to switch </w:t>
      </w:r>
      <w:r w:rsidR="00E03CF5">
        <w:t xml:space="preserve">from cash to in-kind for </w:t>
      </w:r>
      <w:r w:rsidR="00AE4291">
        <w:t>non-food items</w:t>
      </w:r>
      <w:r>
        <w:t xml:space="preserve">, </w:t>
      </w:r>
      <w:r w:rsidR="009723A5">
        <w:t>there is not a clear itemi</w:t>
      </w:r>
      <w:r w:rsidR="0092152A">
        <w:t>zed calculation</w:t>
      </w:r>
      <w:r w:rsidR="00374430">
        <w:t>. Therefore</w:t>
      </w:r>
      <w:r w:rsidR="007F30A9">
        <w:t>,</w:t>
      </w:r>
      <w:r w:rsidR="00374430">
        <w:t xml:space="preserve"> partners </w:t>
      </w:r>
      <w:r w:rsidR="00A673F4">
        <w:t xml:space="preserve">will have to decide themselves which items to </w:t>
      </w:r>
      <w:r w:rsidR="005C0F4D">
        <w:t>provide</w:t>
      </w:r>
      <w:r w:rsidR="00006C55">
        <w:t xml:space="preserve"> and how much that will cost. </w:t>
      </w:r>
    </w:p>
    <w:p w14:paraId="78076C3F" w14:textId="7FAB6594" w:rsidR="00CC16EE" w:rsidRDefault="00A80A1B">
      <w:pPr>
        <w:numPr>
          <w:ilvl w:val="0"/>
          <w:numId w:val="9"/>
        </w:numPr>
      </w:pPr>
      <w:r>
        <w:t xml:space="preserve">The proposed SMEB </w:t>
      </w:r>
      <w:r w:rsidR="00425B40">
        <w:t>switches</w:t>
      </w:r>
      <w:r>
        <w:t xml:space="preserve"> the MEB food basket calculation from a </w:t>
      </w:r>
      <w:r w:rsidR="00D80EDB">
        <w:t xml:space="preserve">typical </w:t>
      </w:r>
      <w:r w:rsidR="0001504B">
        <w:t xml:space="preserve">diverse </w:t>
      </w:r>
      <w:r>
        <w:t>food basket</w:t>
      </w:r>
      <w:r w:rsidR="0001504B">
        <w:t>,</w:t>
      </w:r>
      <w:r>
        <w:t xml:space="preserve"> to one that </w:t>
      </w:r>
      <w:r w:rsidR="00BB2B35">
        <w:t>meets k/</w:t>
      </w:r>
      <w:proofErr w:type="spellStart"/>
      <w:r w:rsidR="00BB2B35">
        <w:t>cal</w:t>
      </w:r>
      <w:proofErr w:type="spellEnd"/>
      <w:r w:rsidR="00BB2B35">
        <w:t xml:space="preserve"> needs</w:t>
      </w:r>
      <w:r w:rsidR="00834A90">
        <w:t xml:space="preserve">. </w:t>
      </w:r>
      <w:r>
        <w:t xml:space="preserve">If </w:t>
      </w:r>
      <w:r w:rsidR="00843622">
        <w:t>the other</w:t>
      </w:r>
      <w:r>
        <w:t xml:space="preserve"> consumption sectors</w:t>
      </w:r>
      <w:r w:rsidR="00D654B3">
        <w:t xml:space="preserve"> are</w:t>
      </w:r>
      <w:r>
        <w:t xml:space="preserve"> proportionally </w:t>
      </w:r>
      <w:r w:rsidR="00D16B39">
        <w:t xml:space="preserve">reduced by </w:t>
      </w:r>
      <w:r>
        <w:t>the same amount as food, it</w:t>
      </w:r>
      <w:r w:rsidR="00843622">
        <w:t xml:space="preserve"> is</w:t>
      </w:r>
      <w:r>
        <w:t xml:space="preserve"> unclear whether </w:t>
      </w:r>
      <w:r w:rsidR="00062F78">
        <w:t>the non-food</w:t>
      </w:r>
      <w:r>
        <w:t xml:space="preserve"> sectors can still meet survival needs. </w:t>
      </w:r>
    </w:p>
    <w:p w14:paraId="1007999A" w14:textId="77777777" w:rsidR="00CC16EE" w:rsidRDefault="00CC16EE"/>
    <w:p w14:paraId="0E9C50F6" w14:textId="580FAF23" w:rsidR="00CC16EE" w:rsidRDefault="00CC16EE">
      <w:pPr>
        <w:rPr>
          <w:b/>
          <w:u w:val="single"/>
        </w:rPr>
      </w:pPr>
    </w:p>
    <w:p w14:paraId="1DDAA0B2" w14:textId="77777777" w:rsidR="00CC16EE" w:rsidRDefault="00CC16EE"/>
    <w:p w14:paraId="41D228E0" w14:textId="01815789" w:rsidR="00661672" w:rsidRDefault="00661672">
      <w:pPr>
        <w:sectPr w:rsidR="00661672" w:rsidSect="00DE2024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</w:sectPr>
      </w:pPr>
    </w:p>
    <w:p w14:paraId="1CB19256" w14:textId="68AE67C9" w:rsidR="00557658" w:rsidRDefault="00557658" w:rsidP="7788FFCD">
      <w:pPr>
        <w:rPr>
          <w:b/>
          <w:bCs/>
        </w:rPr>
      </w:pPr>
      <w:r w:rsidRPr="7788FFCD">
        <w:rPr>
          <w:b/>
          <w:bCs/>
        </w:rPr>
        <w:lastRenderedPageBreak/>
        <w:t>Annex 1: State Level SMEBs</w:t>
      </w:r>
    </w:p>
    <w:p w14:paraId="499C3EC4" w14:textId="77777777" w:rsidR="00CD6916" w:rsidRDefault="00CD6916"/>
    <w:tbl>
      <w:tblPr>
        <w:tblW w:w="11700" w:type="dxa"/>
        <w:tblLook w:val="04A0" w:firstRow="1" w:lastRow="0" w:firstColumn="1" w:lastColumn="0" w:noHBand="0" w:noVBand="1"/>
      </w:tblPr>
      <w:tblGrid>
        <w:gridCol w:w="2200"/>
        <w:gridCol w:w="1900"/>
        <w:gridCol w:w="1900"/>
        <w:gridCol w:w="1900"/>
        <w:gridCol w:w="1900"/>
        <w:gridCol w:w="1900"/>
      </w:tblGrid>
      <w:tr w:rsidR="00CD6916" w:rsidRPr="00CD6916" w14:paraId="54043C94" w14:textId="77777777" w:rsidTr="00CD6916">
        <w:trPr>
          <w:trHeight w:val="252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5F9" w:fill="8CB5F9"/>
            <w:vAlign w:val="center"/>
            <w:hideMark/>
          </w:tcPr>
          <w:p w14:paraId="36F9C6A9" w14:textId="77777777" w:rsidR="00CD6916" w:rsidRPr="00CD6916" w:rsidRDefault="00CD6916" w:rsidP="00CD691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  <w:t>State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5F9" w:fill="8CB5F9"/>
            <w:vAlign w:val="center"/>
            <w:hideMark/>
          </w:tcPr>
          <w:p w14:paraId="27471F22" w14:textId="77777777" w:rsidR="00CD6916" w:rsidRPr="00CD6916" w:rsidRDefault="00CD6916" w:rsidP="00CD691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  <w:t>Cost of Individual full food ration (May 2024) 65% of SMEB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5F9" w:fill="8CB5F9"/>
            <w:vAlign w:val="center"/>
            <w:hideMark/>
          </w:tcPr>
          <w:p w14:paraId="6E8217BE" w14:textId="77777777" w:rsidR="00CD6916" w:rsidRPr="00CD6916" w:rsidRDefault="00CD6916" w:rsidP="00CD691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  <w:t>Non-Food Items and Services (35%)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5F9" w:fill="8CB5F9"/>
            <w:vAlign w:val="center"/>
            <w:hideMark/>
          </w:tcPr>
          <w:p w14:paraId="0FD5BD4D" w14:textId="77777777" w:rsidR="00CD6916" w:rsidRPr="00CD6916" w:rsidRDefault="00CD6916" w:rsidP="00CD691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  <w:t>Total Cost of SMEB per individual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5B95F9" w:fill="8CB5F9"/>
            <w:vAlign w:val="center"/>
            <w:hideMark/>
          </w:tcPr>
          <w:p w14:paraId="15CBEE65" w14:textId="77777777" w:rsidR="00CD6916" w:rsidRPr="00CD6916" w:rsidRDefault="00CD6916" w:rsidP="00CD691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  <w:t>Cost of SMEB for a household of 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5F9" w:fill="8CB5F9"/>
            <w:vAlign w:val="center"/>
            <w:hideMark/>
          </w:tcPr>
          <w:p w14:paraId="4B854DBE" w14:textId="77777777" w:rsidR="00CD6916" w:rsidRPr="00CD6916" w:rsidRDefault="00CD6916" w:rsidP="00CD691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  <w:t>Cost of SMEB for a household of 5 Rounded to nearest 5,000 MMK</w:t>
            </w:r>
          </w:p>
        </w:tc>
      </w:tr>
      <w:tr w:rsidR="00CD6916" w:rsidRPr="00CD6916" w14:paraId="14B5CD3A" w14:textId="77777777" w:rsidTr="00CD6916">
        <w:trPr>
          <w:trHeight w:val="2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94C957" w14:textId="77777777" w:rsidR="00CD6916" w:rsidRPr="00CD6916" w:rsidRDefault="00CD6916" w:rsidP="00CD691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Chin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FCE4B4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47,849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7DE758E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25,765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C5089D9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73,614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14:paraId="48C52BB0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368,068 K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F29E151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  <w:t>370,000 K</w:t>
            </w:r>
          </w:p>
        </w:tc>
      </w:tr>
      <w:tr w:rsidR="00CD6916" w:rsidRPr="00CD6916" w14:paraId="55D43666" w14:textId="77777777" w:rsidTr="00CD6916">
        <w:trPr>
          <w:trHeight w:val="2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noWrap/>
            <w:vAlign w:val="bottom"/>
            <w:hideMark/>
          </w:tcPr>
          <w:p w14:paraId="1D8ED3A8" w14:textId="77777777" w:rsidR="00CD6916" w:rsidRPr="00CD6916" w:rsidRDefault="00CD6916" w:rsidP="00CD691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Kachin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noWrap/>
            <w:vAlign w:val="bottom"/>
            <w:hideMark/>
          </w:tcPr>
          <w:p w14:paraId="0B5AA69B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52,182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vAlign w:val="bottom"/>
            <w:hideMark/>
          </w:tcPr>
          <w:p w14:paraId="2FB6423B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28,098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vAlign w:val="bottom"/>
            <w:hideMark/>
          </w:tcPr>
          <w:p w14:paraId="7E179491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80,280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8F0FE" w:fill="E8F0FE"/>
            <w:vAlign w:val="bottom"/>
            <w:hideMark/>
          </w:tcPr>
          <w:p w14:paraId="69AB7549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401,398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vAlign w:val="bottom"/>
            <w:hideMark/>
          </w:tcPr>
          <w:p w14:paraId="71BF6009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  <w:t>400,000 K</w:t>
            </w:r>
          </w:p>
        </w:tc>
      </w:tr>
      <w:tr w:rsidR="00CD6916" w:rsidRPr="00CD6916" w14:paraId="7D5ED9AF" w14:textId="77777777" w:rsidTr="00CD6916">
        <w:trPr>
          <w:trHeight w:val="2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37CDEE" w14:textId="77777777" w:rsidR="00CD6916" w:rsidRPr="00CD6916" w:rsidRDefault="00CD6916" w:rsidP="00CD691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Southeast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E40C5B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43,192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3BB0AA6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23,257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9946B6E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66,449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14:paraId="5DEA2EBB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332,247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C0F989E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  <w:t>330,000 K</w:t>
            </w:r>
          </w:p>
        </w:tc>
      </w:tr>
      <w:tr w:rsidR="00CD6916" w:rsidRPr="00CD6916" w14:paraId="0C3D652D" w14:textId="77777777" w:rsidTr="00CD6916">
        <w:trPr>
          <w:trHeight w:val="2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noWrap/>
            <w:vAlign w:val="bottom"/>
            <w:hideMark/>
          </w:tcPr>
          <w:p w14:paraId="3AD20B2E" w14:textId="77777777" w:rsidR="00CD6916" w:rsidRPr="00CD6916" w:rsidRDefault="00CD6916" w:rsidP="00CD691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Magway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noWrap/>
            <w:vAlign w:val="bottom"/>
            <w:hideMark/>
          </w:tcPr>
          <w:p w14:paraId="2703C040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44,801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vAlign w:val="bottom"/>
            <w:hideMark/>
          </w:tcPr>
          <w:p w14:paraId="55F3173D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24,124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vAlign w:val="bottom"/>
            <w:hideMark/>
          </w:tcPr>
          <w:p w14:paraId="69CF5DA4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68,924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8F0FE" w:fill="E8F0FE"/>
            <w:vAlign w:val="bottom"/>
            <w:hideMark/>
          </w:tcPr>
          <w:p w14:paraId="53485EA7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344,622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vAlign w:val="bottom"/>
            <w:hideMark/>
          </w:tcPr>
          <w:p w14:paraId="1A641319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  <w:t>345,000 K</w:t>
            </w:r>
          </w:p>
        </w:tc>
      </w:tr>
      <w:tr w:rsidR="00CD6916" w:rsidRPr="00CD6916" w14:paraId="6A995A37" w14:textId="77777777" w:rsidTr="00CD6916">
        <w:trPr>
          <w:trHeight w:val="2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5F2094" w14:textId="77777777" w:rsidR="00CD6916" w:rsidRPr="00CD6916" w:rsidRDefault="00CD6916" w:rsidP="00CD691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Mandalay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718E35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47,911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56942D3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25,798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2355BA4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73,709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14:paraId="440964E4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368,546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7704F27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  <w:t>370,000 K</w:t>
            </w:r>
          </w:p>
        </w:tc>
      </w:tr>
      <w:tr w:rsidR="00CD6916" w:rsidRPr="00CD6916" w14:paraId="08DFCFA6" w14:textId="77777777" w:rsidTr="00CD6916">
        <w:trPr>
          <w:trHeight w:val="28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vAlign w:val="bottom"/>
            <w:hideMark/>
          </w:tcPr>
          <w:p w14:paraId="1826E206" w14:textId="77777777" w:rsidR="00CD6916" w:rsidRPr="00CD6916" w:rsidRDefault="00CD6916" w:rsidP="00CD691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Rakhine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vAlign w:val="bottom"/>
            <w:hideMark/>
          </w:tcPr>
          <w:p w14:paraId="26B9C531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53,729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vAlign w:val="bottom"/>
            <w:hideMark/>
          </w:tcPr>
          <w:p w14:paraId="3FCEA771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28,931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vAlign w:val="bottom"/>
            <w:hideMark/>
          </w:tcPr>
          <w:p w14:paraId="75FA6E31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82,660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8F0FE" w:fill="E8F0FE"/>
            <w:vAlign w:val="bottom"/>
            <w:hideMark/>
          </w:tcPr>
          <w:p w14:paraId="23624D55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413,298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vAlign w:val="bottom"/>
            <w:hideMark/>
          </w:tcPr>
          <w:p w14:paraId="0D3D6F34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  <w:t>415,000 K</w:t>
            </w:r>
          </w:p>
        </w:tc>
      </w:tr>
      <w:tr w:rsidR="00CD6916" w:rsidRPr="00CD6916" w14:paraId="2482B2C2" w14:textId="77777777" w:rsidTr="00CD6916">
        <w:trPr>
          <w:trHeight w:val="2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2DB7CC" w14:textId="77777777" w:rsidR="00CD6916" w:rsidRPr="00CD6916" w:rsidRDefault="00CD6916" w:rsidP="00CD691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proofErr w:type="spellStart"/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Sagaing</w:t>
            </w:r>
            <w:proofErr w:type="spellEnd"/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F0D232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53,176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ABC8DC7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28,633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E97B4F3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81,809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14:paraId="1D05CE2F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409,043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2C396F4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  <w:t>410,000 K</w:t>
            </w:r>
          </w:p>
        </w:tc>
      </w:tr>
      <w:tr w:rsidR="00CD6916" w:rsidRPr="00CD6916" w14:paraId="34EC88CD" w14:textId="77777777" w:rsidTr="00CD6916">
        <w:trPr>
          <w:trHeight w:val="2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noWrap/>
            <w:vAlign w:val="bottom"/>
            <w:hideMark/>
          </w:tcPr>
          <w:p w14:paraId="45108516" w14:textId="77777777" w:rsidR="00CD6916" w:rsidRPr="00CD6916" w:rsidRDefault="00CD6916" w:rsidP="00CD691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 xml:space="preserve">Shan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noWrap/>
            <w:vAlign w:val="bottom"/>
            <w:hideMark/>
          </w:tcPr>
          <w:p w14:paraId="25CE67D9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53,285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vAlign w:val="bottom"/>
            <w:hideMark/>
          </w:tcPr>
          <w:p w14:paraId="7A72B4EA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28,692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vAlign w:val="bottom"/>
            <w:hideMark/>
          </w:tcPr>
          <w:p w14:paraId="1D9360FB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81,977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8F0FE" w:fill="E8F0FE"/>
            <w:vAlign w:val="bottom"/>
            <w:hideMark/>
          </w:tcPr>
          <w:p w14:paraId="39FC4D48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409,884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F0FE" w:fill="E8F0FE"/>
            <w:vAlign w:val="bottom"/>
            <w:hideMark/>
          </w:tcPr>
          <w:p w14:paraId="1F2DA3AB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  <w:t>410,000 K</w:t>
            </w:r>
          </w:p>
        </w:tc>
      </w:tr>
      <w:tr w:rsidR="00CD6916" w:rsidRPr="00CD6916" w14:paraId="7AC5642B" w14:textId="77777777" w:rsidTr="00CD6916">
        <w:trPr>
          <w:trHeight w:val="2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48E45B" w14:textId="77777777" w:rsidR="00CD6916" w:rsidRPr="00CD6916" w:rsidRDefault="00CD6916" w:rsidP="00CD691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Yangon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6D66A1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39,556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406F3CC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21,299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9C3B39F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60,856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14:paraId="43CEC4C9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color w:val="000000"/>
                <w:sz w:val="20"/>
                <w:szCs w:val="20"/>
                <w:lang w:val="en-US" w:eastAsia="en-US" w:bidi="th-TH"/>
              </w:rPr>
              <w:t>304,278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E602DAE" w14:textId="77777777" w:rsidR="00CD6916" w:rsidRPr="00CD6916" w:rsidRDefault="00CD6916" w:rsidP="00CD691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</w:pPr>
            <w:r w:rsidRPr="00CD69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th-TH"/>
              </w:rPr>
              <w:t>305,000 K</w:t>
            </w:r>
          </w:p>
        </w:tc>
      </w:tr>
    </w:tbl>
    <w:p w14:paraId="2314B447" w14:textId="77777777" w:rsidR="00CD6916" w:rsidRDefault="00CD6916"/>
    <w:p w14:paraId="31FAA0AC" w14:textId="77777777" w:rsidR="00023F67" w:rsidRDefault="00023F67"/>
    <w:p w14:paraId="4C4CB8B2" w14:textId="7C00133C" w:rsidR="001D06B4" w:rsidRDefault="00D94E34">
      <w:pPr>
        <w:sectPr w:rsidR="001D06B4" w:rsidSect="00557658">
          <w:headerReference w:type="default" r:id="rId13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r>
        <w:t>Market prices vary between states</w:t>
      </w:r>
      <w:r w:rsidR="000D2540">
        <w:t xml:space="preserve"> and regions</w:t>
      </w:r>
      <w:r>
        <w:t xml:space="preserve">. The state level </w:t>
      </w:r>
      <w:r w:rsidR="000D2540">
        <w:t>SMEB</w:t>
      </w:r>
      <w:r w:rsidR="00F628B4">
        <w:t xml:space="preserve">s allow for implementing organizations to </w:t>
      </w:r>
      <w:r w:rsidR="00EC1833">
        <w:t xml:space="preserve">better adapt their transfer values based on current market prices. </w:t>
      </w:r>
      <w:r w:rsidR="00661672">
        <w:t xml:space="preserve">More detailed calculations for each state’s food basket can be found in the excel calculations sheet.  </w:t>
      </w:r>
    </w:p>
    <w:p w14:paraId="1A357CA8" w14:textId="582AF966" w:rsidR="00037C75" w:rsidRDefault="00E24B6E">
      <w:r>
        <w:rPr>
          <w:b/>
          <w:bCs/>
        </w:rPr>
        <w:lastRenderedPageBreak/>
        <w:t xml:space="preserve">Annex </w:t>
      </w:r>
      <w:r w:rsidR="00CD6916">
        <w:rPr>
          <w:b/>
          <w:bCs/>
        </w:rPr>
        <w:t>2</w:t>
      </w:r>
      <w:r>
        <w:rPr>
          <w:b/>
          <w:bCs/>
        </w:rPr>
        <w:t xml:space="preserve">: </w:t>
      </w:r>
      <w:r w:rsidR="7788FFCD" w:rsidRPr="7788FFCD">
        <w:rPr>
          <w:b/>
          <w:bCs/>
        </w:rPr>
        <w:t xml:space="preserve">MEB Resources </w:t>
      </w:r>
    </w:p>
    <w:p w14:paraId="49F3D693" w14:textId="2915E11E" w:rsidR="7788FFCD" w:rsidRDefault="7788FFCD" w:rsidP="7788FFCD">
      <w:pPr>
        <w:rPr>
          <w:b/>
          <w:bCs/>
        </w:rPr>
      </w:pPr>
    </w:p>
    <w:p w14:paraId="76C15292" w14:textId="79BC5DD1" w:rsidR="7788FFCD" w:rsidRDefault="7788FFCD" w:rsidP="7788FFCD">
      <w:pPr>
        <w:pStyle w:val="ListParagraph"/>
        <w:numPr>
          <w:ilvl w:val="0"/>
          <w:numId w:val="1"/>
        </w:numPr>
      </w:pPr>
      <w:r>
        <w:t xml:space="preserve">Link to MEB Technical Note:    </w:t>
      </w:r>
      <w:hyperlink r:id="rId14">
        <w:r w:rsidRPr="7788FFCD">
          <w:rPr>
            <w:rStyle w:val="Hyperlink"/>
          </w:rPr>
          <w:t>http://themimu.info/sites/themimu.info/files/documents/Summary_Myanmar_Minimum_Expenditure_Basket_MEB_Technical_Note_CWG_24Sep2021.docx</w:t>
        </w:r>
      </w:hyperlink>
    </w:p>
    <w:p w14:paraId="2A895AA5" w14:textId="504DA03B" w:rsidR="7788FFCD" w:rsidRDefault="7788FFCD" w:rsidP="7788FFCD"/>
    <w:p w14:paraId="15E32692" w14:textId="37607F0C" w:rsidR="7788FFCD" w:rsidRPr="0073388D" w:rsidRDefault="7788FFCD" w:rsidP="7788FFCD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Link to MEB Calculation Sheet </w:t>
      </w:r>
      <w:hyperlink r:id="rId15">
        <w:r w:rsidRPr="7788FFCD">
          <w:rPr>
            <w:rStyle w:val="Hyperlink"/>
          </w:rPr>
          <w:t>http://themimu.info/sites/themimu.info/files/documents/Template_Myanmar_Minimum_Expenditure_Basket_MEB_Calculation_CWG_24Sep2021.xlsx</w:t>
        </w:r>
      </w:hyperlink>
    </w:p>
    <w:p w14:paraId="46777871" w14:textId="77777777" w:rsidR="0073388D" w:rsidRDefault="0073388D" w:rsidP="0073388D">
      <w:pPr>
        <w:pStyle w:val="ListParagraph"/>
      </w:pPr>
    </w:p>
    <w:p w14:paraId="4939B8E8" w14:textId="66E9797F" w:rsidR="0073388D" w:rsidRDefault="0073388D" w:rsidP="7788FFCD">
      <w:pPr>
        <w:pStyle w:val="ListParagraph"/>
        <w:numPr>
          <w:ilvl w:val="0"/>
          <w:numId w:val="1"/>
        </w:numPr>
      </w:pPr>
      <w:r>
        <w:t xml:space="preserve">Link to WFP Market Price Monitoring </w:t>
      </w:r>
      <w:proofErr w:type="spellStart"/>
      <w:r>
        <w:t>Dashboad</w:t>
      </w:r>
      <w:proofErr w:type="spellEnd"/>
      <w:r>
        <w:t xml:space="preserve"> </w:t>
      </w:r>
    </w:p>
    <w:p w14:paraId="34EEBF2E" w14:textId="0DBB326D" w:rsidR="0073388D" w:rsidRDefault="00000000" w:rsidP="0073388D">
      <w:pPr>
        <w:pStyle w:val="ListParagraph"/>
      </w:pPr>
      <w:hyperlink r:id="rId16" w:history="1">
        <w:r w:rsidR="004E320A" w:rsidRPr="007B5E74">
          <w:rPr>
            <w:rStyle w:val="Hyperlink"/>
          </w:rPr>
          <w:t>https://analytics.wfp.org/t/Public/views/MarketMonitoringDashboardv2/Overview_?%3AshowAppBanner=false&amp;%3Adisplay_count=n&amp;%3AshowVizHome=n&amp;%3Aorigin=viz_share_link&amp;%3AisGuestRedirectFromVizportal=y&amp;%3Aembed=y</w:t>
        </w:r>
      </w:hyperlink>
    </w:p>
    <w:p w14:paraId="73E6B35F" w14:textId="77777777" w:rsidR="004E320A" w:rsidRDefault="004E320A" w:rsidP="0073388D">
      <w:pPr>
        <w:pStyle w:val="ListParagraph"/>
      </w:pPr>
    </w:p>
    <w:p w14:paraId="2821D4D5" w14:textId="7BB56604" w:rsidR="0073388D" w:rsidRDefault="0073388D" w:rsidP="7788FFCD">
      <w:pPr>
        <w:pStyle w:val="ListParagraph"/>
        <w:numPr>
          <w:ilvl w:val="0"/>
          <w:numId w:val="1"/>
        </w:numPr>
      </w:pPr>
      <w:r>
        <w:t xml:space="preserve">Link to </w:t>
      </w:r>
      <w:r w:rsidR="00076376">
        <w:t xml:space="preserve">Market Analysis Unit Dashboard </w:t>
      </w:r>
    </w:p>
    <w:p w14:paraId="2C831288" w14:textId="75A7D895" w:rsidR="7788FFCD" w:rsidRDefault="00000000" w:rsidP="00C91A4F">
      <w:pPr>
        <w:ind w:firstLine="720"/>
      </w:pPr>
      <w:hyperlink r:id="rId17" w:history="1">
        <w:r w:rsidR="00C91A4F" w:rsidRPr="007B5E74">
          <w:rPr>
            <w:rStyle w:val="Hyperlink"/>
          </w:rPr>
          <w:t>https://themimu.info/market-analysis-unit</w:t>
        </w:r>
      </w:hyperlink>
    </w:p>
    <w:p w14:paraId="015C2190" w14:textId="77777777" w:rsidR="00C91A4F" w:rsidRDefault="00C91A4F" w:rsidP="00C91A4F">
      <w:pPr>
        <w:ind w:firstLine="720"/>
      </w:pPr>
    </w:p>
    <w:p w14:paraId="2A359034" w14:textId="77777777" w:rsidR="00C91A4F" w:rsidRDefault="00C91A4F" w:rsidP="00C91A4F">
      <w:pPr>
        <w:ind w:firstLine="720"/>
      </w:pPr>
    </w:p>
    <w:p w14:paraId="720D30E0" w14:textId="7F18E2C7" w:rsidR="00557658" w:rsidRDefault="00557658">
      <w:pPr>
        <w:rPr>
          <w:b/>
          <w:bCs/>
        </w:rPr>
      </w:pPr>
    </w:p>
    <w:p w14:paraId="76CAE3F6" w14:textId="77777777" w:rsidR="00E24B6E" w:rsidRDefault="00E24B6E">
      <w:pPr>
        <w:rPr>
          <w:b/>
          <w:bCs/>
        </w:rPr>
      </w:pPr>
    </w:p>
    <w:p w14:paraId="4B59602B" w14:textId="77777777" w:rsidR="00E24B6E" w:rsidRDefault="00E24B6E">
      <w:pPr>
        <w:rPr>
          <w:b/>
          <w:bCs/>
        </w:rPr>
      </w:pPr>
    </w:p>
    <w:p w14:paraId="16711B76" w14:textId="77777777" w:rsidR="00E24B6E" w:rsidRDefault="00E24B6E">
      <w:pPr>
        <w:rPr>
          <w:b/>
          <w:bCs/>
        </w:rPr>
      </w:pPr>
    </w:p>
    <w:p w14:paraId="3C86AD7A" w14:textId="77777777" w:rsidR="00E24B6E" w:rsidRDefault="00E24B6E">
      <w:pPr>
        <w:rPr>
          <w:b/>
          <w:bCs/>
        </w:rPr>
      </w:pPr>
    </w:p>
    <w:p w14:paraId="1B04C425" w14:textId="77777777" w:rsidR="00E24B6E" w:rsidRDefault="00E24B6E">
      <w:pPr>
        <w:rPr>
          <w:b/>
          <w:bCs/>
        </w:rPr>
      </w:pPr>
    </w:p>
    <w:p w14:paraId="22199DA2" w14:textId="77777777" w:rsidR="00E24B6E" w:rsidRDefault="00E24B6E">
      <w:pPr>
        <w:rPr>
          <w:b/>
          <w:bCs/>
        </w:rPr>
      </w:pPr>
    </w:p>
    <w:p w14:paraId="4A3E75EF" w14:textId="77777777" w:rsidR="00E24B6E" w:rsidRDefault="00E24B6E">
      <w:pPr>
        <w:rPr>
          <w:b/>
          <w:bCs/>
        </w:rPr>
      </w:pPr>
    </w:p>
    <w:p w14:paraId="65DFDCEC" w14:textId="77777777" w:rsidR="00E24B6E" w:rsidRDefault="00E24B6E">
      <w:pPr>
        <w:rPr>
          <w:b/>
          <w:bCs/>
        </w:rPr>
      </w:pPr>
    </w:p>
    <w:p w14:paraId="0C0318EE" w14:textId="77777777" w:rsidR="00E24B6E" w:rsidRDefault="00E24B6E">
      <w:pPr>
        <w:rPr>
          <w:b/>
          <w:bCs/>
        </w:rPr>
      </w:pPr>
    </w:p>
    <w:p w14:paraId="4754D9C4" w14:textId="77777777" w:rsidR="00E24B6E" w:rsidRDefault="00E24B6E">
      <w:pPr>
        <w:rPr>
          <w:b/>
          <w:bCs/>
        </w:rPr>
      </w:pPr>
    </w:p>
    <w:p w14:paraId="4BD98038" w14:textId="77777777" w:rsidR="00E24B6E" w:rsidRDefault="00E24B6E">
      <w:pPr>
        <w:rPr>
          <w:b/>
          <w:bCs/>
        </w:rPr>
      </w:pPr>
    </w:p>
    <w:p w14:paraId="3936AEE7" w14:textId="77777777" w:rsidR="00E24B6E" w:rsidRDefault="00E24B6E">
      <w:pPr>
        <w:rPr>
          <w:b/>
          <w:bCs/>
        </w:rPr>
      </w:pPr>
    </w:p>
    <w:p w14:paraId="23F53776" w14:textId="77777777" w:rsidR="00E24B6E" w:rsidRDefault="00E24B6E">
      <w:pPr>
        <w:rPr>
          <w:b/>
          <w:bCs/>
        </w:rPr>
      </w:pPr>
    </w:p>
    <w:p w14:paraId="47541050" w14:textId="77777777" w:rsidR="00E24B6E" w:rsidRDefault="00E24B6E">
      <w:pPr>
        <w:rPr>
          <w:b/>
          <w:bCs/>
        </w:rPr>
      </w:pPr>
    </w:p>
    <w:p w14:paraId="25D7C5ED" w14:textId="77777777" w:rsidR="00E24B6E" w:rsidRDefault="00E24B6E">
      <w:pPr>
        <w:rPr>
          <w:b/>
          <w:bCs/>
        </w:rPr>
      </w:pPr>
    </w:p>
    <w:p w14:paraId="23942B17" w14:textId="77777777" w:rsidR="00E24B6E" w:rsidRDefault="00E24B6E">
      <w:pPr>
        <w:rPr>
          <w:b/>
          <w:bCs/>
        </w:rPr>
      </w:pPr>
    </w:p>
    <w:p w14:paraId="6DF79F1B" w14:textId="77777777" w:rsidR="00E24B6E" w:rsidRDefault="00E24B6E">
      <w:pPr>
        <w:rPr>
          <w:b/>
          <w:bCs/>
        </w:rPr>
      </w:pPr>
    </w:p>
    <w:p w14:paraId="139DFB9C" w14:textId="77777777" w:rsidR="00CC16EE" w:rsidRDefault="00CC16EE"/>
    <w:sectPr w:rsidR="00CC16EE" w:rsidSect="001D06B4">
      <w:headerReference w:type="default" r:id="rId1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DA26" w14:textId="77777777" w:rsidR="0033195D" w:rsidRDefault="0033195D">
      <w:pPr>
        <w:spacing w:line="240" w:lineRule="auto"/>
      </w:pPr>
      <w:r>
        <w:separator/>
      </w:r>
    </w:p>
  </w:endnote>
  <w:endnote w:type="continuationSeparator" w:id="0">
    <w:p w14:paraId="7C7B1049" w14:textId="77777777" w:rsidR="0033195D" w:rsidRDefault="0033195D">
      <w:pPr>
        <w:spacing w:line="240" w:lineRule="auto"/>
      </w:pPr>
      <w:r>
        <w:continuationSeparator/>
      </w:r>
    </w:p>
  </w:endnote>
  <w:endnote w:type="continuationNotice" w:id="1">
    <w:p w14:paraId="07C7CC82" w14:textId="77777777" w:rsidR="0033195D" w:rsidRDefault="003319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9E56" w14:textId="248BF469" w:rsidR="00CC16EE" w:rsidRPr="00E24B6E" w:rsidRDefault="00CC16EE">
    <w:pPr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5CDA" w14:textId="77777777" w:rsidR="0033195D" w:rsidRDefault="0033195D">
      <w:pPr>
        <w:spacing w:line="240" w:lineRule="auto"/>
      </w:pPr>
      <w:r>
        <w:separator/>
      </w:r>
    </w:p>
  </w:footnote>
  <w:footnote w:type="continuationSeparator" w:id="0">
    <w:p w14:paraId="2AD963EA" w14:textId="77777777" w:rsidR="0033195D" w:rsidRDefault="0033195D">
      <w:pPr>
        <w:spacing w:line="240" w:lineRule="auto"/>
      </w:pPr>
      <w:r>
        <w:continuationSeparator/>
      </w:r>
    </w:p>
  </w:footnote>
  <w:footnote w:type="continuationNotice" w:id="1">
    <w:p w14:paraId="154873D7" w14:textId="77777777" w:rsidR="0033195D" w:rsidRDefault="0033195D">
      <w:pPr>
        <w:spacing w:line="240" w:lineRule="auto"/>
      </w:pPr>
    </w:p>
  </w:footnote>
  <w:footnote w:id="2">
    <w:p w14:paraId="295FDC0E" w14:textId="1BE8657D" w:rsidR="002D2DF5" w:rsidRPr="002D2DF5" w:rsidRDefault="002D2DF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Note that the food portion of the MEB utilized a typical diet approach instead of the k/</w:t>
      </w:r>
      <w:proofErr w:type="spellStart"/>
      <w:r>
        <w:t>cal</w:t>
      </w:r>
      <w:proofErr w:type="spellEnd"/>
      <w:r>
        <w:t xml:space="preserve"> approach of the SMEB. The reason for applying a more restricted approach is to focus on energy-only needs which are typically those prioritized </w:t>
      </w:r>
      <w:r w:rsidR="002F5F35">
        <w:t>under the</w:t>
      </w:r>
      <w:r>
        <w:t xml:space="preserve"> core humanitarian standards. As a result, the proposed SMEB food portion is significantly less than the MEB food amount.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895"/>
      <w:gridCol w:w="345"/>
      <w:gridCol w:w="3120"/>
    </w:tblGrid>
    <w:tr w:rsidR="7788FFCD" w14:paraId="74835D79" w14:textId="77777777" w:rsidTr="45D77314">
      <w:tc>
        <w:tcPr>
          <w:tcW w:w="5895" w:type="dxa"/>
        </w:tcPr>
        <w:p w14:paraId="05C3F3C6" w14:textId="41A7A384" w:rsidR="7788FFCD" w:rsidRDefault="45D77314" w:rsidP="0D223844">
          <w:pPr>
            <w:pStyle w:val="Header"/>
            <w:ind w:left="-115"/>
            <w:rPr>
              <w:b/>
              <w:bCs/>
              <w:color w:val="1F497D" w:themeColor="text2"/>
              <w:sz w:val="40"/>
              <w:szCs w:val="40"/>
            </w:rPr>
          </w:pPr>
          <w:r w:rsidRPr="45D77314">
            <w:rPr>
              <w:b/>
              <w:bCs/>
              <w:color w:val="1F487C"/>
              <w:sz w:val="28"/>
              <w:szCs w:val="28"/>
            </w:rPr>
            <w:t xml:space="preserve">Myanmar </w:t>
          </w:r>
          <w:r w:rsidR="00456295">
            <w:rPr>
              <w:b/>
              <w:bCs/>
              <w:color w:val="1F487C"/>
              <w:sz w:val="28"/>
              <w:szCs w:val="28"/>
            </w:rPr>
            <w:t>SMEB</w:t>
          </w:r>
        </w:p>
        <w:p w14:paraId="48E28FF2" w14:textId="790CAFCF" w:rsidR="7788FFCD" w:rsidRDefault="00CD6916" w:rsidP="0D223844">
          <w:pPr>
            <w:pStyle w:val="Header"/>
            <w:ind w:left="-115"/>
            <w:rPr>
              <w:b/>
              <w:bCs/>
              <w:color w:val="1F497D" w:themeColor="text2"/>
              <w:sz w:val="28"/>
              <w:szCs w:val="28"/>
            </w:rPr>
          </w:pPr>
          <w:r>
            <w:rPr>
              <w:b/>
              <w:bCs/>
              <w:color w:val="1F487C"/>
              <w:sz w:val="28"/>
              <w:szCs w:val="28"/>
            </w:rPr>
            <w:t>June 2024</w:t>
          </w:r>
          <w:r w:rsidR="002A7BDC">
            <w:rPr>
              <w:b/>
              <w:bCs/>
              <w:color w:val="1F487C"/>
              <w:sz w:val="28"/>
              <w:szCs w:val="28"/>
            </w:rPr>
            <w:t xml:space="preserve"> Update</w:t>
          </w:r>
        </w:p>
      </w:tc>
      <w:tc>
        <w:tcPr>
          <w:tcW w:w="345" w:type="dxa"/>
        </w:tcPr>
        <w:p w14:paraId="412AB914" w14:textId="76C20AA1" w:rsidR="7788FFCD" w:rsidRDefault="7788FFCD" w:rsidP="7788FFCD">
          <w:pPr>
            <w:pStyle w:val="Header"/>
            <w:jc w:val="center"/>
          </w:pPr>
        </w:p>
      </w:tc>
      <w:tc>
        <w:tcPr>
          <w:tcW w:w="3120" w:type="dxa"/>
        </w:tcPr>
        <w:p w14:paraId="7C4E4677" w14:textId="12418E03" w:rsidR="7788FFCD" w:rsidRDefault="7788FFCD" w:rsidP="7788FFCD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5270869" wp14:editId="4CC47E8C">
                <wp:extent cx="1838325" cy="6667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67CDEC" w14:textId="5D6E2938" w:rsidR="7788FFCD" w:rsidRDefault="7788FFCD" w:rsidP="7788F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960" w:type="dxa"/>
      <w:tblLayout w:type="fixed"/>
      <w:tblLook w:val="06A0" w:firstRow="1" w:lastRow="0" w:firstColumn="1" w:lastColumn="0" w:noHBand="1" w:noVBand="1"/>
    </w:tblPr>
    <w:tblGrid>
      <w:gridCol w:w="8040"/>
      <w:gridCol w:w="600"/>
      <w:gridCol w:w="4320"/>
    </w:tblGrid>
    <w:tr w:rsidR="7788FFCD" w14:paraId="3E5F6327" w14:textId="77777777" w:rsidTr="45D77314">
      <w:tc>
        <w:tcPr>
          <w:tcW w:w="8040" w:type="dxa"/>
        </w:tcPr>
        <w:p w14:paraId="285B2745" w14:textId="580F75F3" w:rsidR="6F7EC9E3" w:rsidRDefault="45D77314" w:rsidP="00F24D04">
          <w:pPr>
            <w:pStyle w:val="Header"/>
            <w:ind w:left="-115"/>
            <w:rPr>
              <w:b/>
              <w:bCs/>
              <w:color w:val="1F487C"/>
              <w:sz w:val="28"/>
              <w:szCs w:val="28"/>
            </w:rPr>
          </w:pPr>
          <w:r w:rsidRPr="45D77314">
            <w:rPr>
              <w:b/>
              <w:bCs/>
              <w:color w:val="1F487C"/>
              <w:sz w:val="28"/>
              <w:szCs w:val="28"/>
            </w:rPr>
            <w:t>Myanmar Survival Minimum Expenditure Basket</w:t>
          </w:r>
          <w:r w:rsidRPr="45D77314">
            <w:rPr>
              <w:b/>
              <w:bCs/>
              <w:color w:val="1F487C"/>
              <w:sz w:val="40"/>
              <w:szCs w:val="40"/>
            </w:rPr>
            <w:t xml:space="preserve"> </w:t>
          </w:r>
          <w:r w:rsidR="6F7EC9E3" w:rsidRPr="6F7EC9E3">
            <w:rPr>
              <w:b/>
              <w:bCs/>
              <w:color w:val="1F487C"/>
              <w:sz w:val="28"/>
              <w:szCs w:val="28"/>
            </w:rPr>
            <w:t>(SMEB)</w:t>
          </w:r>
        </w:p>
        <w:p w14:paraId="55A97652" w14:textId="6D368133" w:rsidR="6F7EC9E3" w:rsidRDefault="00CD6916" w:rsidP="6F7EC9E3">
          <w:pPr>
            <w:pStyle w:val="Header"/>
            <w:ind w:left="-115"/>
            <w:rPr>
              <w:b/>
              <w:bCs/>
              <w:color w:val="1F487C"/>
              <w:sz w:val="28"/>
              <w:szCs w:val="28"/>
            </w:rPr>
          </w:pPr>
          <w:r>
            <w:rPr>
              <w:b/>
              <w:bCs/>
              <w:color w:val="1F487C"/>
              <w:sz w:val="28"/>
              <w:szCs w:val="28"/>
            </w:rPr>
            <w:t>June 2024</w:t>
          </w:r>
          <w:r w:rsidR="00B36933">
            <w:rPr>
              <w:b/>
              <w:bCs/>
              <w:color w:val="1F487C"/>
              <w:sz w:val="28"/>
              <w:szCs w:val="28"/>
            </w:rPr>
            <w:t xml:space="preserve"> Update</w:t>
          </w:r>
        </w:p>
      </w:tc>
      <w:tc>
        <w:tcPr>
          <w:tcW w:w="600" w:type="dxa"/>
        </w:tcPr>
        <w:p w14:paraId="64FDB369" w14:textId="76C20AA1" w:rsidR="6F7EC9E3" w:rsidRDefault="6F7EC9E3" w:rsidP="6F7EC9E3">
          <w:pPr>
            <w:pStyle w:val="Header"/>
            <w:jc w:val="center"/>
          </w:pPr>
        </w:p>
      </w:tc>
      <w:tc>
        <w:tcPr>
          <w:tcW w:w="4320" w:type="dxa"/>
        </w:tcPr>
        <w:p w14:paraId="061EE384" w14:textId="12418E03" w:rsidR="6F7EC9E3" w:rsidRDefault="6F7EC9E3" w:rsidP="6F7EC9E3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69D538D" wp14:editId="1FC989DF">
                <wp:extent cx="1838325" cy="666750"/>
                <wp:effectExtent l="0" t="0" r="0" b="0"/>
                <wp:docPr id="2138226303" name="Picture 2138226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1A5059" w14:textId="20B3CA27" w:rsidR="7788FFCD" w:rsidRDefault="7788FFCD" w:rsidP="7788FF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0" w:type="dxa"/>
      <w:tblLayout w:type="fixed"/>
      <w:tblLook w:val="06A0" w:firstRow="1" w:lastRow="0" w:firstColumn="1" w:lastColumn="0" w:noHBand="1" w:noVBand="1"/>
    </w:tblPr>
    <w:tblGrid>
      <w:gridCol w:w="5865"/>
      <w:gridCol w:w="345"/>
      <w:gridCol w:w="3120"/>
    </w:tblGrid>
    <w:tr w:rsidR="7788FFCD" w14:paraId="41E4E893" w14:textId="77777777" w:rsidTr="45D77314">
      <w:tc>
        <w:tcPr>
          <w:tcW w:w="5865" w:type="dxa"/>
        </w:tcPr>
        <w:p w14:paraId="770636DD" w14:textId="0FB71039" w:rsidR="6F7EC9E3" w:rsidRDefault="45D77314" w:rsidP="6F7EC9E3">
          <w:pPr>
            <w:pStyle w:val="Header"/>
            <w:ind w:left="-115"/>
            <w:rPr>
              <w:b/>
              <w:bCs/>
              <w:color w:val="1F487C"/>
              <w:sz w:val="28"/>
              <w:szCs w:val="28"/>
            </w:rPr>
          </w:pPr>
          <w:r w:rsidRPr="45D77314">
            <w:rPr>
              <w:b/>
              <w:bCs/>
              <w:color w:val="1F487C"/>
              <w:sz w:val="28"/>
              <w:szCs w:val="28"/>
            </w:rPr>
            <w:t xml:space="preserve">Myanmar </w:t>
          </w:r>
          <w:r w:rsidR="00456295">
            <w:rPr>
              <w:b/>
              <w:bCs/>
              <w:color w:val="1F487C"/>
              <w:sz w:val="28"/>
              <w:szCs w:val="28"/>
            </w:rPr>
            <w:t>SMEB</w:t>
          </w:r>
        </w:p>
        <w:p w14:paraId="4C9D8F95" w14:textId="4167F944" w:rsidR="6F7EC9E3" w:rsidRDefault="00CD6916" w:rsidP="6F7EC9E3">
          <w:pPr>
            <w:pStyle w:val="Header"/>
            <w:ind w:left="-115"/>
            <w:rPr>
              <w:b/>
              <w:bCs/>
              <w:color w:val="1F487C"/>
              <w:sz w:val="28"/>
              <w:szCs w:val="28"/>
            </w:rPr>
          </w:pPr>
          <w:r>
            <w:rPr>
              <w:b/>
              <w:bCs/>
              <w:color w:val="1F487C"/>
              <w:sz w:val="28"/>
              <w:szCs w:val="28"/>
            </w:rPr>
            <w:t>June 2024</w:t>
          </w:r>
          <w:r w:rsidR="00456295">
            <w:rPr>
              <w:b/>
              <w:bCs/>
              <w:color w:val="1F487C"/>
              <w:sz w:val="28"/>
              <w:szCs w:val="28"/>
            </w:rPr>
            <w:t xml:space="preserve"> Update</w:t>
          </w:r>
        </w:p>
      </w:tc>
      <w:tc>
        <w:tcPr>
          <w:tcW w:w="345" w:type="dxa"/>
        </w:tcPr>
        <w:p w14:paraId="108CA38E" w14:textId="76C20AA1" w:rsidR="6F7EC9E3" w:rsidRDefault="6F7EC9E3" w:rsidP="6F7EC9E3">
          <w:pPr>
            <w:pStyle w:val="Header"/>
            <w:jc w:val="center"/>
          </w:pPr>
        </w:p>
      </w:tc>
      <w:tc>
        <w:tcPr>
          <w:tcW w:w="3120" w:type="dxa"/>
        </w:tcPr>
        <w:p w14:paraId="75CE3550" w14:textId="12418E03" w:rsidR="6F7EC9E3" w:rsidRDefault="6F7EC9E3" w:rsidP="6F7EC9E3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510686F" wp14:editId="7D6CB8F3">
                <wp:extent cx="1838325" cy="666750"/>
                <wp:effectExtent l="0" t="0" r="0" b="0"/>
                <wp:docPr id="1822452060" name="Picture 1822452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CD1926" w14:textId="064ECCC5" w:rsidR="7788FFCD" w:rsidRDefault="7788FFCD" w:rsidP="7788F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109"/>
    <w:multiLevelType w:val="multilevel"/>
    <w:tmpl w:val="A78E9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9F161E"/>
    <w:multiLevelType w:val="multilevel"/>
    <w:tmpl w:val="44F6F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930061"/>
    <w:multiLevelType w:val="multilevel"/>
    <w:tmpl w:val="877AC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97F62A"/>
    <w:multiLevelType w:val="hybridMultilevel"/>
    <w:tmpl w:val="D430DCE8"/>
    <w:lvl w:ilvl="0" w:tplc="516E5B6A">
      <w:start w:val="1"/>
      <w:numFmt w:val="decimal"/>
      <w:lvlText w:val="%1."/>
      <w:lvlJc w:val="left"/>
      <w:pPr>
        <w:ind w:left="720" w:hanging="360"/>
      </w:pPr>
    </w:lvl>
    <w:lvl w:ilvl="1" w:tplc="64709A2E">
      <w:start w:val="1"/>
      <w:numFmt w:val="lowerLetter"/>
      <w:lvlText w:val="%2."/>
      <w:lvlJc w:val="left"/>
      <w:pPr>
        <w:ind w:left="1440" w:hanging="360"/>
      </w:pPr>
    </w:lvl>
    <w:lvl w:ilvl="2" w:tplc="5C021048">
      <w:start w:val="1"/>
      <w:numFmt w:val="lowerRoman"/>
      <w:lvlText w:val="%3."/>
      <w:lvlJc w:val="right"/>
      <w:pPr>
        <w:ind w:left="2160" w:hanging="180"/>
      </w:pPr>
    </w:lvl>
    <w:lvl w:ilvl="3" w:tplc="0F3858F8">
      <w:start w:val="1"/>
      <w:numFmt w:val="decimal"/>
      <w:lvlText w:val="%4."/>
      <w:lvlJc w:val="left"/>
      <w:pPr>
        <w:ind w:left="2880" w:hanging="360"/>
      </w:pPr>
    </w:lvl>
    <w:lvl w:ilvl="4" w:tplc="B784EDCC">
      <w:start w:val="1"/>
      <w:numFmt w:val="lowerLetter"/>
      <w:lvlText w:val="%5."/>
      <w:lvlJc w:val="left"/>
      <w:pPr>
        <w:ind w:left="3600" w:hanging="360"/>
      </w:pPr>
    </w:lvl>
    <w:lvl w:ilvl="5" w:tplc="2D600CF0">
      <w:start w:val="1"/>
      <w:numFmt w:val="lowerRoman"/>
      <w:lvlText w:val="%6."/>
      <w:lvlJc w:val="right"/>
      <w:pPr>
        <w:ind w:left="4320" w:hanging="180"/>
      </w:pPr>
    </w:lvl>
    <w:lvl w:ilvl="6" w:tplc="CE9A77CA">
      <w:start w:val="1"/>
      <w:numFmt w:val="decimal"/>
      <w:lvlText w:val="%7."/>
      <w:lvlJc w:val="left"/>
      <w:pPr>
        <w:ind w:left="5040" w:hanging="360"/>
      </w:pPr>
    </w:lvl>
    <w:lvl w:ilvl="7" w:tplc="EEC206F6">
      <w:start w:val="1"/>
      <w:numFmt w:val="lowerLetter"/>
      <w:lvlText w:val="%8."/>
      <w:lvlJc w:val="left"/>
      <w:pPr>
        <w:ind w:left="5760" w:hanging="360"/>
      </w:pPr>
    </w:lvl>
    <w:lvl w:ilvl="8" w:tplc="68FE78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5340C"/>
    <w:multiLevelType w:val="multilevel"/>
    <w:tmpl w:val="ECE6B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AE7C83"/>
    <w:multiLevelType w:val="multilevel"/>
    <w:tmpl w:val="068C90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B716614"/>
    <w:multiLevelType w:val="hybridMultilevel"/>
    <w:tmpl w:val="99469112"/>
    <w:lvl w:ilvl="0" w:tplc="DBC6D444">
      <w:start w:val="1"/>
      <w:numFmt w:val="decimal"/>
      <w:lvlText w:val="%1."/>
      <w:lvlJc w:val="left"/>
      <w:pPr>
        <w:ind w:left="720" w:hanging="360"/>
      </w:pPr>
    </w:lvl>
    <w:lvl w:ilvl="1" w:tplc="D3F049AE">
      <w:start w:val="1"/>
      <w:numFmt w:val="lowerLetter"/>
      <w:lvlText w:val="%2."/>
      <w:lvlJc w:val="left"/>
      <w:pPr>
        <w:ind w:left="1440" w:hanging="360"/>
      </w:pPr>
    </w:lvl>
    <w:lvl w:ilvl="2" w:tplc="2E721634">
      <w:start w:val="1"/>
      <w:numFmt w:val="lowerRoman"/>
      <w:lvlText w:val="%3."/>
      <w:lvlJc w:val="right"/>
      <w:pPr>
        <w:ind w:left="2160" w:hanging="180"/>
      </w:pPr>
    </w:lvl>
    <w:lvl w:ilvl="3" w:tplc="27461018">
      <w:start w:val="1"/>
      <w:numFmt w:val="decimal"/>
      <w:lvlText w:val="%4."/>
      <w:lvlJc w:val="left"/>
      <w:pPr>
        <w:ind w:left="2880" w:hanging="360"/>
      </w:pPr>
    </w:lvl>
    <w:lvl w:ilvl="4" w:tplc="D994BB68">
      <w:start w:val="1"/>
      <w:numFmt w:val="lowerLetter"/>
      <w:lvlText w:val="%5."/>
      <w:lvlJc w:val="left"/>
      <w:pPr>
        <w:ind w:left="3600" w:hanging="360"/>
      </w:pPr>
    </w:lvl>
    <w:lvl w:ilvl="5" w:tplc="3E7C9404">
      <w:start w:val="1"/>
      <w:numFmt w:val="lowerRoman"/>
      <w:lvlText w:val="%6."/>
      <w:lvlJc w:val="right"/>
      <w:pPr>
        <w:ind w:left="4320" w:hanging="180"/>
      </w:pPr>
    </w:lvl>
    <w:lvl w:ilvl="6" w:tplc="CA98BBD0">
      <w:start w:val="1"/>
      <w:numFmt w:val="decimal"/>
      <w:lvlText w:val="%7."/>
      <w:lvlJc w:val="left"/>
      <w:pPr>
        <w:ind w:left="5040" w:hanging="360"/>
      </w:pPr>
    </w:lvl>
    <w:lvl w:ilvl="7" w:tplc="CEDEA462">
      <w:start w:val="1"/>
      <w:numFmt w:val="lowerLetter"/>
      <w:lvlText w:val="%8."/>
      <w:lvlJc w:val="left"/>
      <w:pPr>
        <w:ind w:left="5760" w:hanging="360"/>
      </w:pPr>
    </w:lvl>
    <w:lvl w:ilvl="8" w:tplc="ED0204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FF24"/>
    <w:multiLevelType w:val="hybridMultilevel"/>
    <w:tmpl w:val="8E969778"/>
    <w:lvl w:ilvl="0" w:tplc="6EBC8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0D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CD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0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C0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585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29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6B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6AA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24867"/>
    <w:multiLevelType w:val="multilevel"/>
    <w:tmpl w:val="B1E65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8A1806"/>
    <w:multiLevelType w:val="multilevel"/>
    <w:tmpl w:val="C54C74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F24B07"/>
    <w:multiLevelType w:val="hybridMultilevel"/>
    <w:tmpl w:val="2770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D27AD"/>
    <w:multiLevelType w:val="multilevel"/>
    <w:tmpl w:val="AA588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D67C87"/>
    <w:multiLevelType w:val="multilevel"/>
    <w:tmpl w:val="50286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535A6C"/>
    <w:multiLevelType w:val="multilevel"/>
    <w:tmpl w:val="4336CB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14882329">
    <w:abstractNumId w:val="7"/>
  </w:num>
  <w:num w:numId="2" w16cid:durableId="2104643169">
    <w:abstractNumId w:val="6"/>
  </w:num>
  <w:num w:numId="3" w16cid:durableId="1243103735">
    <w:abstractNumId w:val="3"/>
  </w:num>
  <w:num w:numId="4" w16cid:durableId="1634405733">
    <w:abstractNumId w:val="13"/>
  </w:num>
  <w:num w:numId="5" w16cid:durableId="1857109888">
    <w:abstractNumId w:val="4"/>
  </w:num>
  <w:num w:numId="6" w16cid:durableId="1102070206">
    <w:abstractNumId w:val="11"/>
  </w:num>
  <w:num w:numId="7" w16cid:durableId="1050304428">
    <w:abstractNumId w:val="1"/>
  </w:num>
  <w:num w:numId="8" w16cid:durableId="3635784">
    <w:abstractNumId w:val="5"/>
  </w:num>
  <w:num w:numId="9" w16cid:durableId="162673492">
    <w:abstractNumId w:val="8"/>
  </w:num>
  <w:num w:numId="10" w16cid:durableId="10421434">
    <w:abstractNumId w:val="2"/>
  </w:num>
  <w:num w:numId="11" w16cid:durableId="1053574952">
    <w:abstractNumId w:val="0"/>
  </w:num>
  <w:num w:numId="12" w16cid:durableId="721946846">
    <w:abstractNumId w:val="12"/>
  </w:num>
  <w:num w:numId="13" w16cid:durableId="1134641292">
    <w:abstractNumId w:val="9"/>
  </w:num>
  <w:num w:numId="14" w16cid:durableId="1269310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EE"/>
    <w:rsid w:val="00001FF8"/>
    <w:rsid w:val="000034D7"/>
    <w:rsid w:val="00004DCF"/>
    <w:rsid w:val="00006C55"/>
    <w:rsid w:val="0001504B"/>
    <w:rsid w:val="00023F67"/>
    <w:rsid w:val="00026100"/>
    <w:rsid w:val="0003558A"/>
    <w:rsid w:val="00035AE0"/>
    <w:rsid w:val="00037C75"/>
    <w:rsid w:val="00062F78"/>
    <w:rsid w:val="00063939"/>
    <w:rsid w:val="00076376"/>
    <w:rsid w:val="00091304"/>
    <w:rsid w:val="000A0498"/>
    <w:rsid w:val="000C2397"/>
    <w:rsid w:val="000D2540"/>
    <w:rsid w:val="000E510A"/>
    <w:rsid w:val="000F600F"/>
    <w:rsid w:val="00100F30"/>
    <w:rsid w:val="001033F4"/>
    <w:rsid w:val="00110CC0"/>
    <w:rsid w:val="00131324"/>
    <w:rsid w:val="00163346"/>
    <w:rsid w:val="0016435E"/>
    <w:rsid w:val="00164EBA"/>
    <w:rsid w:val="001661E9"/>
    <w:rsid w:val="001A5D7D"/>
    <w:rsid w:val="001C2452"/>
    <w:rsid w:val="001C773C"/>
    <w:rsid w:val="001D06B4"/>
    <w:rsid w:val="001E7EA0"/>
    <w:rsid w:val="001F324C"/>
    <w:rsid w:val="001F4518"/>
    <w:rsid w:val="00201F09"/>
    <w:rsid w:val="00214875"/>
    <w:rsid w:val="00224730"/>
    <w:rsid w:val="00226047"/>
    <w:rsid w:val="00226543"/>
    <w:rsid w:val="00236B4E"/>
    <w:rsid w:val="0024134B"/>
    <w:rsid w:val="00245408"/>
    <w:rsid w:val="00266175"/>
    <w:rsid w:val="00267ECC"/>
    <w:rsid w:val="00271D2D"/>
    <w:rsid w:val="00290DB5"/>
    <w:rsid w:val="002A7099"/>
    <w:rsid w:val="002A7BDC"/>
    <w:rsid w:val="002B5FCE"/>
    <w:rsid w:val="002C0EC7"/>
    <w:rsid w:val="002D2DF5"/>
    <w:rsid w:val="002F3ECC"/>
    <w:rsid w:val="002F5F35"/>
    <w:rsid w:val="002F6FA7"/>
    <w:rsid w:val="00301966"/>
    <w:rsid w:val="00306A53"/>
    <w:rsid w:val="00311E46"/>
    <w:rsid w:val="003309CF"/>
    <w:rsid w:val="0033195D"/>
    <w:rsid w:val="003372F3"/>
    <w:rsid w:val="00350D1D"/>
    <w:rsid w:val="00374430"/>
    <w:rsid w:val="0039173E"/>
    <w:rsid w:val="003B5381"/>
    <w:rsid w:val="003C0DFF"/>
    <w:rsid w:val="003E6A68"/>
    <w:rsid w:val="003F75B6"/>
    <w:rsid w:val="004035FB"/>
    <w:rsid w:val="00412FE6"/>
    <w:rsid w:val="00424E41"/>
    <w:rsid w:val="00425B40"/>
    <w:rsid w:val="00427F47"/>
    <w:rsid w:val="00453932"/>
    <w:rsid w:val="00456295"/>
    <w:rsid w:val="00462D73"/>
    <w:rsid w:val="00476D43"/>
    <w:rsid w:val="00484912"/>
    <w:rsid w:val="00487FC5"/>
    <w:rsid w:val="004C6B89"/>
    <w:rsid w:val="004E320A"/>
    <w:rsid w:val="004F2CA6"/>
    <w:rsid w:val="004F46A4"/>
    <w:rsid w:val="00500BC2"/>
    <w:rsid w:val="005015D3"/>
    <w:rsid w:val="00501D8D"/>
    <w:rsid w:val="00511D1F"/>
    <w:rsid w:val="0051289D"/>
    <w:rsid w:val="00513CAD"/>
    <w:rsid w:val="00516BF4"/>
    <w:rsid w:val="005177CA"/>
    <w:rsid w:val="005416F9"/>
    <w:rsid w:val="0055298E"/>
    <w:rsid w:val="00557658"/>
    <w:rsid w:val="00563B01"/>
    <w:rsid w:val="005709EF"/>
    <w:rsid w:val="00577061"/>
    <w:rsid w:val="005914E1"/>
    <w:rsid w:val="00594BFA"/>
    <w:rsid w:val="005A28AB"/>
    <w:rsid w:val="005A3408"/>
    <w:rsid w:val="005A42B5"/>
    <w:rsid w:val="005C016B"/>
    <w:rsid w:val="005C0F4D"/>
    <w:rsid w:val="005D4A16"/>
    <w:rsid w:val="005D4A56"/>
    <w:rsid w:val="00650539"/>
    <w:rsid w:val="00661672"/>
    <w:rsid w:val="0066337C"/>
    <w:rsid w:val="00665A21"/>
    <w:rsid w:val="00685984"/>
    <w:rsid w:val="00694E77"/>
    <w:rsid w:val="006A3EAD"/>
    <w:rsid w:val="006B2BCF"/>
    <w:rsid w:val="006B6FEB"/>
    <w:rsid w:val="006C3131"/>
    <w:rsid w:val="006C561F"/>
    <w:rsid w:val="006D1C77"/>
    <w:rsid w:val="006E21B4"/>
    <w:rsid w:val="006F0DFF"/>
    <w:rsid w:val="006F1EB2"/>
    <w:rsid w:val="006F5D6B"/>
    <w:rsid w:val="00731B67"/>
    <w:rsid w:val="00732E54"/>
    <w:rsid w:val="0073388D"/>
    <w:rsid w:val="00733959"/>
    <w:rsid w:val="00734665"/>
    <w:rsid w:val="0075230E"/>
    <w:rsid w:val="0078360A"/>
    <w:rsid w:val="00785E04"/>
    <w:rsid w:val="00797616"/>
    <w:rsid w:val="007B0785"/>
    <w:rsid w:val="007B63A9"/>
    <w:rsid w:val="007D48BB"/>
    <w:rsid w:val="007D7F89"/>
    <w:rsid w:val="007E2EFF"/>
    <w:rsid w:val="007F25BE"/>
    <w:rsid w:val="007F30A9"/>
    <w:rsid w:val="007F4388"/>
    <w:rsid w:val="00813BA4"/>
    <w:rsid w:val="008268C0"/>
    <w:rsid w:val="00832E68"/>
    <w:rsid w:val="008330A9"/>
    <w:rsid w:val="00834A90"/>
    <w:rsid w:val="008351B5"/>
    <w:rsid w:val="00843622"/>
    <w:rsid w:val="0086367B"/>
    <w:rsid w:val="008678D8"/>
    <w:rsid w:val="0087444A"/>
    <w:rsid w:val="008825CA"/>
    <w:rsid w:val="00885F43"/>
    <w:rsid w:val="00897AB5"/>
    <w:rsid w:val="008D546A"/>
    <w:rsid w:val="008D60A7"/>
    <w:rsid w:val="008E75EF"/>
    <w:rsid w:val="008F4DDB"/>
    <w:rsid w:val="0090003C"/>
    <w:rsid w:val="00915030"/>
    <w:rsid w:val="0092152A"/>
    <w:rsid w:val="009359A8"/>
    <w:rsid w:val="00936DB3"/>
    <w:rsid w:val="00944BBA"/>
    <w:rsid w:val="009507E6"/>
    <w:rsid w:val="00957404"/>
    <w:rsid w:val="009723A5"/>
    <w:rsid w:val="009723CB"/>
    <w:rsid w:val="00973624"/>
    <w:rsid w:val="009967C0"/>
    <w:rsid w:val="009B2EBE"/>
    <w:rsid w:val="009D43CD"/>
    <w:rsid w:val="00A14BC2"/>
    <w:rsid w:val="00A23546"/>
    <w:rsid w:val="00A31B50"/>
    <w:rsid w:val="00A41F73"/>
    <w:rsid w:val="00A44BE2"/>
    <w:rsid w:val="00A57E4F"/>
    <w:rsid w:val="00A63A62"/>
    <w:rsid w:val="00A673F4"/>
    <w:rsid w:val="00A74EF7"/>
    <w:rsid w:val="00A8055B"/>
    <w:rsid w:val="00A80A1B"/>
    <w:rsid w:val="00A95A28"/>
    <w:rsid w:val="00AB7A52"/>
    <w:rsid w:val="00AE06BE"/>
    <w:rsid w:val="00AE4291"/>
    <w:rsid w:val="00B25242"/>
    <w:rsid w:val="00B36933"/>
    <w:rsid w:val="00B36E0F"/>
    <w:rsid w:val="00B45749"/>
    <w:rsid w:val="00BB2B35"/>
    <w:rsid w:val="00BB6B68"/>
    <w:rsid w:val="00BC12B9"/>
    <w:rsid w:val="00BD1013"/>
    <w:rsid w:val="00BD65D7"/>
    <w:rsid w:val="00BE59E2"/>
    <w:rsid w:val="00C04745"/>
    <w:rsid w:val="00C07130"/>
    <w:rsid w:val="00C11F93"/>
    <w:rsid w:val="00C33A35"/>
    <w:rsid w:val="00C36F47"/>
    <w:rsid w:val="00C439F4"/>
    <w:rsid w:val="00C77F66"/>
    <w:rsid w:val="00C90038"/>
    <w:rsid w:val="00C91A4F"/>
    <w:rsid w:val="00C97C47"/>
    <w:rsid w:val="00CA2F39"/>
    <w:rsid w:val="00CC16EE"/>
    <w:rsid w:val="00CC66D8"/>
    <w:rsid w:val="00CC68A7"/>
    <w:rsid w:val="00CD6916"/>
    <w:rsid w:val="00CE227F"/>
    <w:rsid w:val="00CF4947"/>
    <w:rsid w:val="00D006DE"/>
    <w:rsid w:val="00D07AD4"/>
    <w:rsid w:val="00D16B39"/>
    <w:rsid w:val="00D30BA9"/>
    <w:rsid w:val="00D33783"/>
    <w:rsid w:val="00D442C1"/>
    <w:rsid w:val="00D46B1F"/>
    <w:rsid w:val="00D654B3"/>
    <w:rsid w:val="00D80EDB"/>
    <w:rsid w:val="00D906EF"/>
    <w:rsid w:val="00D94E34"/>
    <w:rsid w:val="00DD2C2F"/>
    <w:rsid w:val="00DE2024"/>
    <w:rsid w:val="00DE66BA"/>
    <w:rsid w:val="00DF0D2E"/>
    <w:rsid w:val="00DF5F86"/>
    <w:rsid w:val="00E03CF5"/>
    <w:rsid w:val="00E24B6E"/>
    <w:rsid w:val="00E407AD"/>
    <w:rsid w:val="00E434DB"/>
    <w:rsid w:val="00E448E5"/>
    <w:rsid w:val="00E81C47"/>
    <w:rsid w:val="00E838B7"/>
    <w:rsid w:val="00E846B6"/>
    <w:rsid w:val="00E8583A"/>
    <w:rsid w:val="00EA1CCE"/>
    <w:rsid w:val="00EB6A40"/>
    <w:rsid w:val="00EC1833"/>
    <w:rsid w:val="00ED0DC4"/>
    <w:rsid w:val="00ED16BE"/>
    <w:rsid w:val="00ED7406"/>
    <w:rsid w:val="00EE443B"/>
    <w:rsid w:val="00F11099"/>
    <w:rsid w:val="00F13AFD"/>
    <w:rsid w:val="00F17FFA"/>
    <w:rsid w:val="00F24D04"/>
    <w:rsid w:val="00F265A9"/>
    <w:rsid w:val="00F35BDF"/>
    <w:rsid w:val="00F47F12"/>
    <w:rsid w:val="00F51BC0"/>
    <w:rsid w:val="00F56135"/>
    <w:rsid w:val="00F613A9"/>
    <w:rsid w:val="00F628B4"/>
    <w:rsid w:val="00F84568"/>
    <w:rsid w:val="00FA1D1D"/>
    <w:rsid w:val="00FD04A9"/>
    <w:rsid w:val="00FD235B"/>
    <w:rsid w:val="00FE6BDD"/>
    <w:rsid w:val="00FE7A59"/>
    <w:rsid w:val="00FF7EE4"/>
    <w:rsid w:val="01C61E2E"/>
    <w:rsid w:val="03732966"/>
    <w:rsid w:val="0526E126"/>
    <w:rsid w:val="090FFA48"/>
    <w:rsid w:val="09D13013"/>
    <w:rsid w:val="0B53D817"/>
    <w:rsid w:val="0D223844"/>
    <w:rsid w:val="0DCA430E"/>
    <w:rsid w:val="0DE36B6B"/>
    <w:rsid w:val="1154D1C2"/>
    <w:rsid w:val="129DB431"/>
    <w:rsid w:val="13781259"/>
    <w:rsid w:val="1B69FBE1"/>
    <w:rsid w:val="1C449677"/>
    <w:rsid w:val="1DE8545E"/>
    <w:rsid w:val="1E3B4250"/>
    <w:rsid w:val="20579180"/>
    <w:rsid w:val="245795E2"/>
    <w:rsid w:val="256E86BE"/>
    <w:rsid w:val="2587334E"/>
    <w:rsid w:val="28487EE9"/>
    <w:rsid w:val="287B0C11"/>
    <w:rsid w:val="296D5198"/>
    <w:rsid w:val="2ABEE9E0"/>
    <w:rsid w:val="2AD8123D"/>
    <w:rsid w:val="2B0921F9"/>
    <w:rsid w:val="2BDBCF09"/>
    <w:rsid w:val="2C5ABA41"/>
    <w:rsid w:val="2CA4F25A"/>
    <w:rsid w:val="334F76DF"/>
    <w:rsid w:val="347EF483"/>
    <w:rsid w:val="387FF504"/>
    <w:rsid w:val="38D2E2F6"/>
    <w:rsid w:val="3A1BC565"/>
    <w:rsid w:val="3C78CB91"/>
    <w:rsid w:val="3DA65419"/>
    <w:rsid w:val="420E6E9E"/>
    <w:rsid w:val="455E780C"/>
    <w:rsid w:val="45D77314"/>
    <w:rsid w:val="4BCDB990"/>
    <w:rsid w:val="4CFB4218"/>
    <w:rsid w:val="4E971279"/>
    <w:rsid w:val="5162607E"/>
    <w:rsid w:val="52117F1B"/>
    <w:rsid w:val="52661D4A"/>
    <w:rsid w:val="52FE30DF"/>
    <w:rsid w:val="550653FD"/>
    <w:rsid w:val="556360FF"/>
    <w:rsid w:val="559DBE0C"/>
    <w:rsid w:val="57106C37"/>
    <w:rsid w:val="57D1A202"/>
    <w:rsid w:val="596D7263"/>
    <w:rsid w:val="5D7FADBB"/>
    <w:rsid w:val="5E40E386"/>
    <w:rsid w:val="5F1B7E1C"/>
    <w:rsid w:val="60B74E7D"/>
    <w:rsid w:val="61D433A6"/>
    <w:rsid w:val="68C26062"/>
    <w:rsid w:val="6D1CB9D7"/>
    <w:rsid w:val="6F7EC9E3"/>
    <w:rsid w:val="70CE6E66"/>
    <w:rsid w:val="71AFFA63"/>
    <w:rsid w:val="74051309"/>
    <w:rsid w:val="7788FFCD"/>
    <w:rsid w:val="78D8842C"/>
    <w:rsid w:val="7B56DCA9"/>
    <w:rsid w:val="7CF2AD0A"/>
    <w:rsid w:val="7E8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F0EF"/>
  <w15:docId w15:val="{BD9471AA-D6C2-4B75-8E0A-423E3BCF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F11099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5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360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13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24"/>
  </w:style>
  <w:style w:type="character" w:styleId="UnresolvedMention">
    <w:name w:val="Unresolved Mention"/>
    <w:basedOn w:val="DefaultParagraphFont"/>
    <w:uiPriority w:val="99"/>
    <w:semiHidden/>
    <w:unhideWhenUsed/>
    <w:rsid w:val="004E320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D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themimu.info/market-analysis-un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nalytics.wfp.org/t/Public/views/MarketMonitoringDashboardv2/Overview_?%3AshowAppBanner=false&amp;%3Adisplay_count=n&amp;%3AshowVizHome=n&amp;%3Aorigin=viz_share_link&amp;%3AisGuestRedirectFromVizportal=y&amp;%3Aembed=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themimu.info/sites/themimu.info/files/documents/Template_Myanmar_Minimum_Expenditure_Basket_MEB_Calculation_CWG_24Sep2021.xls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themimu.info/sites/themimu.info/files/documents/Summary_Myanmar_Minimum_Expenditure_Basket_MEB_Technical_Note_CWG_24Sep2021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EFF95B33FD745A32690361BBF5EB0" ma:contentTypeVersion="6" ma:contentTypeDescription="Create a new document." ma:contentTypeScope="" ma:versionID="96ed92b70ce98a3f36d3c49722524aa6">
  <xsd:schema xmlns:xsd="http://www.w3.org/2001/XMLSchema" xmlns:xs="http://www.w3.org/2001/XMLSchema" xmlns:p="http://schemas.microsoft.com/office/2006/metadata/properties" xmlns:ns2="3bff1623-8c06-4546-a7b6-b9b5ae2701e2" targetNamespace="http://schemas.microsoft.com/office/2006/metadata/properties" ma:root="true" ma:fieldsID="9fa8960c1d336a803d32fa697a43fd71" ns2:_="">
    <xsd:import namespace="3bff1623-8c06-4546-a7b6-b9b5ae270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f1623-8c06-4546-a7b6-b9b5ae270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FDA41-4DE6-4ECC-AB00-FBB971DE07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09DD52-D0B2-41C3-B0E5-BAFE005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77599-BAC0-2144-8520-3866859648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CC4CEB-5155-41D9-A599-DFDA9B0C3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f1623-8c06-4546-a7b6-b9b5ae270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Links>
    <vt:vector size="24" baseType="variant">
      <vt:variant>
        <vt:i4>2031680</vt:i4>
      </vt:variant>
      <vt:variant>
        <vt:i4>9</vt:i4>
      </vt:variant>
      <vt:variant>
        <vt:i4>0</vt:i4>
      </vt:variant>
      <vt:variant>
        <vt:i4>5</vt:i4>
      </vt:variant>
      <vt:variant>
        <vt:lpwstr>https://themimu.info/market-analysis-unit</vt:lpwstr>
      </vt:variant>
      <vt:variant>
        <vt:lpwstr/>
      </vt:variant>
      <vt:variant>
        <vt:i4>1638481</vt:i4>
      </vt:variant>
      <vt:variant>
        <vt:i4>6</vt:i4>
      </vt:variant>
      <vt:variant>
        <vt:i4>0</vt:i4>
      </vt:variant>
      <vt:variant>
        <vt:i4>5</vt:i4>
      </vt:variant>
      <vt:variant>
        <vt:lpwstr>https://analytics.wfp.org/t/Public/views/MarketMonitoringDashboardv2/Overview_?%3AshowAppBanner=false&amp;%3Adisplay_count=n&amp;%3AshowVizHome=n&amp;%3Aorigin=viz_share_link&amp;%3AisGuestRedirectFromVizportal=y&amp;%3Aembed=y</vt:lpwstr>
      </vt:variant>
      <vt:variant>
        <vt:lpwstr/>
      </vt:variant>
      <vt:variant>
        <vt:i4>4390931</vt:i4>
      </vt:variant>
      <vt:variant>
        <vt:i4>3</vt:i4>
      </vt:variant>
      <vt:variant>
        <vt:i4>0</vt:i4>
      </vt:variant>
      <vt:variant>
        <vt:i4>5</vt:i4>
      </vt:variant>
      <vt:variant>
        <vt:lpwstr>http://themimu.info/sites/themimu.info/files/documents/Template_Myanmar_Minimum_Expenditure_Basket_MEB_Calculation_CWG_24Sep2021.xlsx</vt:lpwstr>
      </vt:variant>
      <vt:variant>
        <vt:lpwstr/>
      </vt:variant>
      <vt:variant>
        <vt:i4>655484</vt:i4>
      </vt:variant>
      <vt:variant>
        <vt:i4>0</vt:i4>
      </vt:variant>
      <vt:variant>
        <vt:i4>0</vt:i4>
      </vt:variant>
      <vt:variant>
        <vt:i4>5</vt:i4>
      </vt:variant>
      <vt:variant>
        <vt:lpwstr>http://themimu.info/sites/themimu.info/files/documents/Summary_Myanmar_Minimum_Expenditure_Basket_MEB_Technical_Note_CWG_24Sep2021.docx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Senior Advisor - Cash and Market</cp:lastModifiedBy>
  <cp:revision>190</cp:revision>
  <dcterms:created xsi:type="dcterms:W3CDTF">2022-09-16T23:57:00Z</dcterms:created>
  <dcterms:modified xsi:type="dcterms:W3CDTF">2024-06-13T04:00:00Z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0x01010090EEFF95B33FD745A32690361BBF5EB0</vt:lpwstr>
  </property>
</Properties>
</file>